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ind w:left="-425" w:right="-458" w:rightChars="-218" w:firstLine="720" w:firstLineChars="200"/>
        <w:jc w:val="left"/>
        <w:rPr>
          <w:rFonts w:hint="eastAsia" w:ascii="黑体" w:hAnsi="黑体" w:eastAsia="黑体"/>
          <w:spacing w:val="20"/>
          <w:sz w:val="32"/>
          <w:szCs w:val="32"/>
          <w:lang w:val="en-US" w:eastAsia="zh-CN"/>
        </w:rPr>
      </w:pPr>
      <w:r>
        <w:rPr>
          <w:rFonts w:hint="eastAsia" w:ascii="黑体" w:hAnsi="黑体" w:eastAsia="黑体"/>
          <w:spacing w:val="20"/>
          <w:sz w:val="32"/>
          <w:szCs w:val="32"/>
        </w:rPr>
        <w:t>附件</w:t>
      </w:r>
      <w:r>
        <w:rPr>
          <w:rFonts w:hint="eastAsia" w:ascii="黑体" w:hAnsi="黑体" w:eastAsia="黑体"/>
          <w:spacing w:val="20"/>
          <w:sz w:val="32"/>
          <w:szCs w:val="32"/>
          <w:lang w:val="en-US" w:eastAsia="zh-CN"/>
        </w:rPr>
        <w:t>2：</w:t>
      </w:r>
    </w:p>
    <w:p>
      <w:pPr>
        <w:spacing w:after="468" w:afterLines="150"/>
        <w:ind w:left="-425" w:right="-458" w:rightChars="-218"/>
        <w:jc w:val="center"/>
        <w:rPr>
          <w:rFonts w:ascii="仿宋" w:hAnsi="仿宋"/>
          <w:sz w:val="32"/>
          <w:szCs w:val="32"/>
        </w:rPr>
      </w:pPr>
      <w:r>
        <w:rPr>
          <w:rFonts w:hint="eastAsia" w:ascii="宋体" w:hAnsi="宋体"/>
          <w:b/>
          <w:spacing w:val="20"/>
          <w:sz w:val="44"/>
          <w:szCs w:val="44"/>
        </w:rPr>
        <w:t>继续医学教育管理工作评估指标（202</w:t>
      </w:r>
      <w:r>
        <w:rPr>
          <w:rFonts w:hint="eastAsia" w:ascii="宋体" w:hAnsi="宋体"/>
          <w:b/>
          <w:spacing w:val="20"/>
          <w:sz w:val="44"/>
          <w:szCs w:val="44"/>
          <w:lang w:val="en-US" w:eastAsia="zh-CN"/>
        </w:rPr>
        <w:t>2</w:t>
      </w:r>
      <w:r>
        <w:rPr>
          <w:rFonts w:hint="eastAsia" w:ascii="宋体" w:hAnsi="宋体"/>
          <w:b/>
          <w:spacing w:val="20"/>
          <w:sz w:val="44"/>
          <w:szCs w:val="44"/>
        </w:rPr>
        <w:t>年版）</w:t>
      </w:r>
    </w:p>
    <w:tbl>
      <w:tblPr>
        <w:tblStyle w:val="7"/>
        <w:tblpPr w:leftFromText="180" w:rightFromText="180" w:vertAnchor="text" w:horzAnchor="page" w:tblpX="1184" w:tblpY="553"/>
        <w:tblOverlap w:val="never"/>
        <w:tblW w:w="14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4808"/>
        <w:gridCol w:w="5670"/>
        <w:gridCol w:w="851"/>
        <w:gridCol w:w="70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37" w:type="dxa"/>
            <w:vAlign w:val="center"/>
          </w:tcPr>
          <w:p>
            <w:pPr>
              <w:keepNext w:val="0"/>
              <w:keepLines w:val="0"/>
              <w:pageBreakBefore w:val="0"/>
              <w:widowControl/>
              <w:kinsoku/>
              <w:wordWrap/>
              <w:overflowPunct/>
              <w:topLinePunct w:val="0"/>
              <w:autoSpaceDE/>
              <w:autoSpaceDN/>
              <w:bidi w:val="0"/>
              <w:adjustRightInd/>
              <w:snapToGrid/>
              <w:ind w:left="-425" w:right="-458" w:rightChars="-218"/>
              <w:jc w:val="center"/>
              <w:textAlignment w:val="auto"/>
              <w:rPr>
                <w:rFonts w:ascii="仿宋_GB2312" w:hAnsi="仿宋" w:eastAsia="仿宋_GB2312" w:cs="宋体"/>
                <w:b/>
                <w:color w:val="000000"/>
                <w:kern w:val="0"/>
                <w:sz w:val="24"/>
                <w:lang w:val="zh-CN"/>
              </w:rPr>
            </w:pPr>
            <w:r>
              <w:rPr>
                <w:rFonts w:hint="eastAsia" w:ascii="仿宋_GB2312" w:hAnsi="仿宋" w:eastAsia="仿宋_GB2312" w:cs="宋体"/>
                <w:b/>
                <w:color w:val="000000"/>
                <w:kern w:val="0"/>
                <w:sz w:val="24"/>
                <w:lang w:val="zh-CN"/>
              </w:rPr>
              <w:t>一级指标</w:t>
            </w:r>
          </w:p>
        </w:tc>
        <w:tc>
          <w:tcPr>
            <w:tcW w:w="4808" w:type="dxa"/>
            <w:vAlign w:val="center"/>
          </w:tcPr>
          <w:p>
            <w:pPr>
              <w:keepNext w:val="0"/>
              <w:keepLines w:val="0"/>
              <w:pageBreakBefore w:val="0"/>
              <w:widowControl/>
              <w:kinsoku/>
              <w:wordWrap/>
              <w:overflowPunct/>
              <w:topLinePunct w:val="0"/>
              <w:autoSpaceDE/>
              <w:autoSpaceDN/>
              <w:bidi w:val="0"/>
              <w:adjustRightInd/>
              <w:snapToGrid/>
              <w:ind w:left="-425" w:right="-458" w:rightChars="-218"/>
              <w:jc w:val="center"/>
              <w:textAlignment w:val="auto"/>
              <w:rPr>
                <w:rFonts w:ascii="仿宋_GB2312" w:hAnsi="仿宋" w:eastAsia="仿宋_GB2312" w:cs="宋体"/>
                <w:b/>
                <w:color w:val="000000"/>
                <w:kern w:val="0"/>
                <w:sz w:val="24"/>
                <w:lang w:val="zh-CN"/>
              </w:rPr>
            </w:pPr>
            <w:r>
              <w:rPr>
                <w:rFonts w:hint="eastAsia" w:ascii="仿宋_GB2312" w:hAnsi="仿宋" w:eastAsia="仿宋_GB2312" w:cs="宋体"/>
                <w:b/>
                <w:color w:val="000000"/>
                <w:kern w:val="0"/>
                <w:sz w:val="24"/>
                <w:lang w:val="zh-CN"/>
              </w:rPr>
              <w:t>二级指标</w:t>
            </w:r>
          </w:p>
        </w:tc>
        <w:tc>
          <w:tcPr>
            <w:tcW w:w="5670" w:type="dxa"/>
            <w:vAlign w:val="center"/>
          </w:tcPr>
          <w:p>
            <w:pPr>
              <w:keepNext w:val="0"/>
              <w:keepLines w:val="0"/>
              <w:pageBreakBefore w:val="0"/>
              <w:widowControl/>
              <w:kinsoku/>
              <w:wordWrap/>
              <w:overflowPunct/>
              <w:topLinePunct w:val="0"/>
              <w:autoSpaceDE/>
              <w:autoSpaceDN/>
              <w:bidi w:val="0"/>
              <w:adjustRightInd/>
              <w:snapToGrid/>
              <w:ind w:left="-425" w:right="-458" w:rightChars="-218"/>
              <w:jc w:val="center"/>
              <w:textAlignment w:val="auto"/>
              <w:rPr>
                <w:rFonts w:ascii="仿宋_GB2312" w:hAnsi="仿宋" w:eastAsia="仿宋_GB2312" w:cs="宋体"/>
                <w:b/>
                <w:color w:val="000000"/>
                <w:kern w:val="0"/>
                <w:sz w:val="24"/>
                <w:lang w:val="zh-CN"/>
              </w:rPr>
            </w:pPr>
            <w:r>
              <w:rPr>
                <w:rFonts w:hint="eastAsia" w:ascii="仿宋_GB2312" w:hAnsi="仿宋" w:eastAsia="仿宋_GB2312" w:cs="宋体"/>
                <w:b/>
                <w:color w:val="000000"/>
                <w:kern w:val="0"/>
                <w:sz w:val="24"/>
                <w:lang w:val="zh-CN"/>
              </w:rPr>
              <w:t>评分标准</w:t>
            </w:r>
          </w:p>
        </w:tc>
        <w:tc>
          <w:tcPr>
            <w:tcW w:w="851" w:type="dxa"/>
            <w:vAlign w:val="center"/>
          </w:tcPr>
          <w:p>
            <w:pPr>
              <w:keepNext w:val="0"/>
              <w:keepLines w:val="0"/>
              <w:pageBreakBefore w:val="0"/>
              <w:widowControl/>
              <w:kinsoku/>
              <w:wordWrap/>
              <w:overflowPunct/>
              <w:topLinePunct w:val="0"/>
              <w:autoSpaceDE/>
              <w:autoSpaceDN/>
              <w:bidi w:val="0"/>
              <w:adjustRightInd/>
              <w:snapToGrid/>
              <w:ind w:left="-425" w:right="-458" w:rightChars="-218"/>
              <w:jc w:val="center"/>
              <w:textAlignment w:val="auto"/>
              <w:rPr>
                <w:rFonts w:ascii="仿宋_GB2312" w:hAnsi="仿宋" w:eastAsia="仿宋_GB2312" w:cs="宋体"/>
                <w:b/>
                <w:color w:val="000000"/>
                <w:kern w:val="0"/>
                <w:sz w:val="24"/>
                <w:lang w:val="zh-CN"/>
              </w:rPr>
            </w:pPr>
            <w:r>
              <w:rPr>
                <w:rFonts w:hint="eastAsia" w:ascii="仿宋_GB2312" w:hAnsi="仿宋" w:eastAsia="仿宋_GB2312" w:cs="宋体"/>
                <w:b/>
                <w:color w:val="000000"/>
                <w:kern w:val="0"/>
                <w:sz w:val="24"/>
                <w:lang w:val="zh-CN"/>
              </w:rPr>
              <w:t>满分</w:t>
            </w:r>
          </w:p>
        </w:tc>
        <w:tc>
          <w:tcPr>
            <w:tcW w:w="709" w:type="dxa"/>
            <w:vAlign w:val="center"/>
          </w:tcPr>
          <w:p>
            <w:pPr>
              <w:keepNext w:val="0"/>
              <w:keepLines w:val="0"/>
              <w:pageBreakBefore w:val="0"/>
              <w:widowControl/>
              <w:kinsoku/>
              <w:wordWrap/>
              <w:overflowPunct/>
              <w:topLinePunct w:val="0"/>
              <w:autoSpaceDE/>
              <w:autoSpaceDN/>
              <w:bidi w:val="0"/>
              <w:adjustRightInd/>
              <w:snapToGrid/>
              <w:ind w:left="-425" w:right="-458" w:rightChars="-218"/>
              <w:jc w:val="center"/>
              <w:textAlignment w:val="auto"/>
              <w:rPr>
                <w:rFonts w:ascii="仿宋_GB2312" w:hAnsi="仿宋" w:eastAsia="仿宋_GB2312" w:cs="宋体"/>
                <w:b/>
                <w:color w:val="000000"/>
                <w:kern w:val="0"/>
                <w:sz w:val="24"/>
                <w:lang w:val="zh-CN"/>
              </w:rPr>
            </w:pPr>
            <w:r>
              <w:rPr>
                <w:rFonts w:hint="eastAsia" w:ascii="仿宋_GB2312" w:hAnsi="仿宋" w:eastAsia="仿宋_GB2312" w:cs="宋体"/>
                <w:b/>
                <w:color w:val="000000"/>
                <w:kern w:val="0"/>
                <w:sz w:val="24"/>
                <w:lang w:val="zh-CN"/>
              </w:rPr>
              <w:t>得分</w:t>
            </w:r>
          </w:p>
        </w:tc>
        <w:tc>
          <w:tcPr>
            <w:tcW w:w="1252" w:type="dxa"/>
            <w:vAlign w:val="center"/>
          </w:tcPr>
          <w:p>
            <w:pPr>
              <w:keepNext w:val="0"/>
              <w:keepLines w:val="0"/>
              <w:pageBreakBefore w:val="0"/>
              <w:kinsoku/>
              <w:wordWrap/>
              <w:overflowPunct/>
              <w:topLinePunct w:val="0"/>
              <w:autoSpaceDE/>
              <w:autoSpaceDN/>
              <w:bidi w:val="0"/>
              <w:adjustRightInd/>
              <w:snapToGrid/>
              <w:ind w:left="-425" w:right="-458" w:rightChars="-218"/>
              <w:jc w:val="center"/>
              <w:textAlignment w:val="auto"/>
              <w:rPr>
                <w:rFonts w:ascii="仿宋_GB2312" w:hAnsi="仿宋" w:eastAsia="仿宋_GB2312" w:cs="宋体"/>
                <w:b/>
                <w:color w:val="000000"/>
                <w:kern w:val="0"/>
                <w:sz w:val="24"/>
                <w:lang w:val="zh-CN"/>
              </w:rPr>
            </w:pPr>
            <w:r>
              <w:rPr>
                <w:rFonts w:hint="eastAsia" w:ascii="仿宋_GB2312" w:hAnsi="仿宋" w:eastAsia="仿宋_GB2312" w:cs="宋体"/>
                <w:b/>
                <w:color w:val="000000"/>
                <w:kern w:val="0"/>
                <w:sz w:val="24"/>
                <w:lang w:val="zh-CN"/>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37" w:type="dxa"/>
            <w:vMerge w:val="restart"/>
            <w:vAlign w:val="center"/>
          </w:tcPr>
          <w:p>
            <w:pPr>
              <w:widowControl/>
              <w:adjustRightInd w:val="0"/>
              <w:snapToGrid w:val="0"/>
              <w:spacing w:line="276" w:lineRule="auto"/>
              <w:jc w:val="center"/>
              <w:rPr>
                <w:rFonts w:ascii="仿宋_GB2312" w:hAnsi="仿宋" w:eastAsia="仿宋_GB2312" w:cs="宋体"/>
                <w:color w:val="000000"/>
                <w:kern w:val="0"/>
                <w:sz w:val="24"/>
                <w:lang w:val="zh-CN"/>
              </w:rPr>
            </w:pPr>
            <w:r>
              <w:rPr>
                <w:rFonts w:hint="eastAsia" w:ascii="仿宋_GB2312" w:hAnsi="仿宋" w:eastAsia="仿宋_GB2312" w:cs="宋体"/>
                <w:color w:val="000000"/>
                <w:kern w:val="0"/>
                <w:sz w:val="24"/>
              </w:rPr>
              <w:t>1.</w:t>
            </w:r>
            <w:r>
              <w:rPr>
                <w:rFonts w:hint="eastAsia" w:ascii="仿宋_GB2312" w:hAnsi="仿宋" w:eastAsia="仿宋_GB2312" w:cs="宋体"/>
                <w:color w:val="000000"/>
                <w:kern w:val="0"/>
                <w:sz w:val="24"/>
                <w:lang w:val="zh-CN"/>
              </w:rPr>
              <w:t>组织</w:t>
            </w:r>
            <w:r>
              <w:rPr>
                <w:rFonts w:hint="eastAsia" w:ascii="仿宋_GB2312" w:hAnsi="仿宋" w:eastAsia="仿宋_GB2312" w:cs="宋体"/>
                <w:color w:val="000000"/>
                <w:kern w:val="0"/>
                <w:sz w:val="24"/>
              </w:rPr>
              <w:t>领导机制</w:t>
            </w:r>
          </w:p>
          <w:p>
            <w:pPr>
              <w:widowControl/>
              <w:adjustRightInd w:val="0"/>
              <w:snapToGrid w:val="0"/>
              <w:spacing w:line="276" w:lineRule="auto"/>
              <w:ind w:left="240"/>
              <w:rPr>
                <w:rFonts w:ascii="仿宋_GB2312" w:hAnsi="仿宋" w:eastAsia="仿宋_GB2312" w:cs="宋体"/>
                <w:color w:val="000000"/>
                <w:kern w:val="0"/>
                <w:sz w:val="24"/>
              </w:rPr>
            </w:pPr>
            <w:r>
              <w:rPr>
                <w:rFonts w:hint="eastAsia" w:ascii="仿宋_GB2312" w:hAnsi="仿宋" w:eastAsia="仿宋_GB2312" w:cs="宋体"/>
                <w:color w:val="000000"/>
                <w:kern w:val="0"/>
                <w:sz w:val="24"/>
              </w:rPr>
              <w:t>（10分）</w:t>
            </w:r>
          </w:p>
        </w:tc>
        <w:tc>
          <w:tcPr>
            <w:tcW w:w="4808" w:type="dxa"/>
            <w:vAlign w:val="center"/>
          </w:tcPr>
          <w:p>
            <w:pPr>
              <w:widowControl/>
              <w:adjustRightInd w:val="0"/>
              <w:snapToGrid w:val="0"/>
              <w:spacing w:line="276" w:lineRule="auto"/>
              <w:ind w:left="482" w:leftChars="-1"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1.1 有</w:t>
            </w:r>
            <w:r>
              <w:rPr>
                <w:rFonts w:hint="eastAsia" w:ascii="仿宋_GB2312" w:hAnsi="仿宋" w:eastAsia="仿宋_GB2312" w:cs="宋体"/>
                <w:kern w:val="0"/>
                <w:sz w:val="24"/>
                <w:lang w:val="zh-CN"/>
              </w:rPr>
              <w:t>明确分管继续医学教育工作的领导，研究继续医学教育工作</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有领导、有分工、有文件或会议纪要，得2分；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rPr>
              <w:t>有</w:t>
            </w:r>
            <w:r>
              <w:rPr>
                <w:rFonts w:hint="eastAsia" w:ascii="仿宋_GB2312" w:hAnsi="仿宋" w:eastAsia="仿宋_GB2312" w:cs="宋体"/>
                <w:kern w:val="0"/>
                <w:sz w:val="24"/>
                <w:lang w:val="zh-CN"/>
              </w:rPr>
              <w:t>研究，有会议通知、会议记录及相关的通报等，得2分。</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4</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lang w:val="zh-CN"/>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lang w:val="zh-CN"/>
              </w:rPr>
              <w:t>1.2</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有</w:t>
            </w:r>
            <w:r>
              <w:rPr>
                <w:rFonts w:hint="eastAsia" w:ascii="仿宋_GB2312" w:hAnsi="仿宋" w:eastAsia="仿宋_GB2312" w:cs="宋体"/>
                <w:kern w:val="0"/>
                <w:sz w:val="24"/>
                <w:lang w:val="en-US" w:eastAsia="zh-CN"/>
              </w:rPr>
              <w:t>市</w:t>
            </w:r>
            <w:r>
              <w:rPr>
                <w:rFonts w:hint="eastAsia" w:ascii="仿宋_GB2312" w:hAnsi="仿宋" w:eastAsia="仿宋_GB2312" w:cs="宋体"/>
                <w:kern w:val="0"/>
                <w:sz w:val="24"/>
                <w:lang w:val="zh-CN"/>
              </w:rPr>
              <w:t>级继续医学教育委员会办公室</w:t>
            </w:r>
            <w:r>
              <w:rPr>
                <w:rFonts w:hint="eastAsia" w:ascii="仿宋_GB2312" w:hAnsi="仿宋" w:eastAsia="仿宋_GB2312" w:cs="宋体"/>
                <w:kern w:val="0"/>
                <w:sz w:val="24"/>
              </w:rPr>
              <w:t>及</w:t>
            </w:r>
            <w:r>
              <w:rPr>
                <w:rFonts w:hint="eastAsia" w:ascii="仿宋_GB2312" w:hAnsi="仿宋" w:eastAsia="仿宋_GB2312" w:cs="宋体"/>
                <w:kern w:val="0"/>
                <w:sz w:val="24"/>
                <w:lang w:val="zh-CN"/>
              </w:rPr>
              <w:t>专职人员</w:t>
            </w:r>
          </w:p>
        </w:tc>
        <w:tc>
          <w:tcPr>
            <w:tcW w:w="5670" w:type="dxa"/>
            <w:vAlign w:val="center"/>
          </w:tcPr>
          <w:p>
            <w:pPr>
              <w:widowControl/>
              <w:adjustRightInd w:val="0"/>
              <w:snapToGrid w:val="0"/>
              <w:spacing w:line="276" w:lineRule="auto"/>
              <w:ind w:left="-4" w:hanging="4"/>
              <w:jc w:val="left"/>
              <w:rPr>
                <w:rFonts w:hint="eastAsia" w:ascii="仿宋_GB2312" w:hAnsi="仿宋" w:eastAsia="仿宋_GB2312" w:cs="宋体"/>
                <w:kern w:val="0"/>
                <w:sz w:val="24"/>
                <w:lang w:val="zh-CN"/>
              </w:rPr>
            </w:pPr>
            <w:r>
              <w:rPr>
                <w:rFonts w:hint="eastAsia" w:ascii="仿宋_GB2312" w:hAnsi="仿宋" w:eastAsia="仿宋_GB2312" w:cs="宋体"/>
                <w:kern w:val="0"/>
                <w:sz w:val="24"/>
                <w:lang w:val="zh-CN"/>
              </w:rPr>
              <w:t>设立专门部门、有专职人员，得</w:t>
            </w:r>
            <w:r>
              <w:rPr>
                <w:rFonts w:hint="eastAsia" w:ascii="仿宋_GB2312" w:hAnsi="仿宋" w:eastAsia="仿宋_GB2312" w:cs="宋体"/>
                <w:kern w:val="0"/>
                <w:sz w:val="24"/>
              </w:rPr>
              <w:t>3</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仅设立其中一项，得1.5分；</w:t>
            </w:r>
          </w:p>
          <w:p>
            <w:pPr>
              <w:widowControl/>
              <w:adjustRightInd w:val="0"/>
              <w:snapToGrid w:val="0"/>
              <w:spacing w:line="276" w:lineRule="auto"/>
              <w:ind w:left="-4" w:hanging="4"/>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没有，不得分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537" w:type="dxa"/>
            <w:vMerge w:val="continue"/>
            <w:vAlign w:val="center"/>
          </w:tcPr>
          <w:p>
            <w:pPr>
              <w:widowControl/>
              <w:jc w:val="left"/>
              <w:rPr>
                <w:rFonts w:eastAsia="仿宋_GB2312"/>
                <w:sz w:val="30"/>
                <w:lang w:val="zh-CN"/>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1.3</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本</w:t>
            </w:r>
            <w:r>
              <w:rPr>
                <w:rFonts w:hint="eastAsia" w:ascii="仿宋_GB2312" w:hAnsi="仿宋" w:eastAsia="仿宋_GB2312" w:cs="宋体"/>
                <w:kern w:val="0"/>
                <w:sz w:val="24"/>
                <w:lang w:val="en-US" w:eastAsia="zh-CN"/>
              </w:rPr>
              <w:t>市</w:t>
            </w:r>
            <w:r>
              <w:rPr>
                <w:rFonts w:hint="eastAsia" w:ascii="仿宋_GB2312" w:hAnsi="仿宋" w:eastAsia="仿宋_GB2312" w:cs="宋体"/>
                <w:kern w:val="0"/>
                <w:sz w:val="24"/>
              </w:rPr>
              <w:t>内</w:t>
            </w:r>
            <w:r>
              <w:rPr>
                <w:rFonts w:hint="eastAsia" w:ascii="仿宋_GB2312" w:hAnsi="仿宋" w:eastAsia="仿宋_GB2312" w:cs="宋体"/>
                <w:kern w:val="0"/>
                <w:sz w:val="24"/>
                <w:lang w:val="en-US" w:eastAsia="zh-CN"/>
              </w:rPr>
              <w:t>县</w:t>
            </w:r>
            <w:r>
              <w:rPr>
                <w:rFonts w:hint="eastAsia" w:ascii="仿宋_GB2312" w:hAnsi="仿宋" w:eastAsia="仿宋_GB2312" w:cs="宋体"/>
                <w:kern w:val="0"/>
                <w:sz w:val="24"/>
                <w:lang w:val="zh-CN"/>
              </w:rPr>
              <w:t>有继续医学教育</w:t>
            </w:r>
            <w:r>
              <w:rPr>
                <w:rFonts w:hint="eastAsia" w:ascii="仿宋_GB2312" w:hAnsi="仿宋" w:eastAsia="仿宋_GB2312" w:cs="宋体"/>
                <w:kern w:val="0"/>
                <w:sz w:val="24"/>
              </w:rPr>
              <w:t>管理</w:t>
            </w:r>
            <w:r>
              <w:rPr>
                <w:rFonts w:hint="eastAsia" w:ascii="仿宋_GB2312" w:hAnsi="仿宋" w:eastAsia="仿宋_GB2312" w:cs="宋体"/>
                <w:kern w:val="0"/>
                <w:sz w:val="24"/>
                <w:lang w:val="zh-CN"/>
              </w:rPr>
              <w:t>人员</w:t>
            </w:r>
          </w:p>
        </w:tc>
        <w:tc>
          <w:tcPr>
            <w:tcW w:w="5670" w:type="dxa"/>
            <w:vAlign w:val="center"/>
          </w:tcPr>
          <w:p>
            <w:pPr>
              <w:widowControl/>
              <w:adjustRightInd w:val="0"/>
              <w:snapToGrid w:val="0"/>
              <w:spacing w:line="276" w:lineRule="auto"/>
              <w:ind w:left="-4" w:hanging="4"/>
              <w:jc w:val="left"/>
              <w:rPr>
                <w:rFonts w:hint="eastAsia" w:ascii="仿宋_GB2312" w:hAnsi="仿宋" w:eastAsia="仿宋_GB2312" w:cs="宋体"/>
                <w:kern w:val="0"/>
                <w:sz w:val="24"/>
                <w:lang w:val="zh-CN"/>
              </w:rPr>
            </w:pPr>
            <w:r>
              <w:rPr>
                <w:rFonts w:hint="eastAsia" w:ascii="仿宋_GB2312" w:hAnsi="仿宋" w:eastAsia="仿宋_GB2312" w:cs="宋体"/>
                <w:kern w:val="0"/>
                <w:sz w:val="24"/>
              </w:rPr>
              <w:t>80%以上</w:t>
            </w:r>
            <w:r>
              <w:rPr>
                <w:rFonts w:hint="eastAsia" w:ascii="仿宋_GB2312" w:hAnsi="仿宋" w:eastAsia="仿宋_GB2312" w:cs="宋体"/>
                <w:kern w:val="0"/>
                <w:sz w:val="24"/>
                <w:lang w:val="zh-CN"/>
              </w:rPr>
              <w:t>有</w:t>
            </w:r>
            <w:r>
              <w:rPr>
                <w:rFonts w:hint="eastAsia" w:ascii="仿宋_GB2312" w:hAnsi="仿宋" w:eastAsia="仿宋_GB2312" w:cs="宋体"/>
                <w:kern w:val="0"/>
                <w:sz w:val="24"/>
              </w:rPr>
              <w:t>管理</w:t>
            </w:r>
            <w:r>
              <w:rPr>
                <w:rFonts w:hint="eastAsia" w:ascii="仿宋_GB2312" w:hAnsi="仿宋" w:eastAsia="仿宋_GB2312" w:cs="宋体"/>
                <w:kern w:val="0"/>
                <w:sz w:val="24"/>
                <w:lang w:val="zh-CN"/>
              </w:rPr>
              <w:t>人员，得</w:t>
            </w:r>
            <w:r>
              <w:rPr>
                <w:rFonts w:hint="eastAsia" w:ascii="仿宋_GB2312" w:hAnsi="仿宋" w:eastAsia="仿宋_GB2312" w:cs="宋体"/>
                <w:kern w:val="0"/>
                <w:sz w:val="24"/>
              </w:rPr>
              <w:t>3</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80%-50%的，得1.5分；</w:t>
            </w:r>
          </w:p>
          <w:p>
            <w:pPr>
              <w:widowControl/>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不足50%的不得分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restart"/>
            <w:vAlign w:val="center"/>
          </w:tcPr>
          <w:p>
            <w:pPr>
              <w:widowControl/>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2.贯彻落实要求</w:t>
            </w:r>
          </w:p>
          <w:p>
            <w:pPr>
              <w:widowControl/>
              <w:adjustRightInd w:val="0"/>
              <w:snapToGrid w:val="0"/>
              <w:spacing w:line="276" w:lineRule="auto"/>
              <w:ind w:left="240"/>
              <w:jc w:val="center"/>
              <w:rPr>
                <w:rFonts w:ascii="仿宋_GB2312" w:hAnsi="仿宋" w:eastAsia="仿宋_GB2312" w:cs="宋体"/>
                <w:color w:val="000000"/>
                <w:kern w:val="0"/>
                <w:sz w:val="24"/>
                <w:lang w:val="zh-CN"/>
              </w:rPr>
            </w:pP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15</w:t>
            </w:r>
            <w:r>
              <w:rPr>
                <w:rFonts w:hint="eastAsia" w:ascii="仿宋_GB2312" w:hAnsi="仿宋" w:eastAsia="仿宋_GB2312" w:cs="宋体"/>
                <w:color w:val="000000"/>
                <w:kern w:val="0"/>
                <w:sz w:val="24"/>
                <w:lang w:val="zh-CN"/>
              </w:rPr>
              <w:t>分）</w:t>
            </w:r>
          </w:p>
        </w:tc>
        <w:tc>
          <w:tcPr>
            <w:tcW w:w="4808" w:type="dxa"/>
          </w:tcPr>
          <w:p>
            <w:pPr>
              <w:widowControl/>
              <w:adjustRightInd w:val="0"/>
              <w:snapToGrid w:val="0"/>
              <w:spacing w:line="276" w:lineRule="auto"/>
              <w:ind w:left="485" w:hanging="484" w:hangingChars="202"/>
              <w:rPr>
                <w:rFonts w:ascii="仿宋_GB2312" w:hAnsi="仿宋" w:eastAsia="仿宋_GB2312" w:cs="宋体"/>
                <w:kern w:val="0"/>
                <w:sz w:val="24"/>
                <w:highlight w:val="yellow"/>
                <w:lang w:val="zh-CN"/>
              </w:rPr>
            </w:pPr>
            <w:r>
              <w:rPr>
                <w:rFonts w:hint="eastAsia" w:ascii="仿宋_GB2312" w:hAnsi="仿宋" w:eastAsia="仿宋_GB2312" w:cs="宋体"/>
                <w:kern w:val="0"/>
                <w:sz w:val="24"/>
              </w:rPr>
              <w:t>2.1</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贯彻</w:t>
            </w:r>
            <w:r>
              <w:rPr>
                <w:rFonts w:hint="eastAsia" w:ascii="仿宋_GB2312" w:hAnsi="仿宋" w:eastAsia="仿宋_GB2312" w:cs="宋体"/>
                <w:kern w:val="0"/>
                <w:sz w:val="24"/>
                <w:lang w:val="zh-CN"/>
              </w:rPr>
              <w:t>落实国务院办公厅《关于加快医学教育创新发展的指导意见》国办发〔2020〕34号</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将医务人员接受继续医学教育的情况纳入其年度绩效考核的必备内容，得</w:t>
            </w:r>
            <w:r>
              <w:rPr>
                <w:rFonts w:hint="eastAsia" w:ascii="仿宋_GB2312" w:hAnsi="仿宋" w:eastAsia="仿宋_GB2312" w:cs="宋体"/>
                <w:kern w:val="0"/>
                <w:sz w:val="24"/>
              </w:rPr>
              <w:t>6</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ascii="仿宋_GB2312" w:hAnsi="仿宋" w:eastAsia="仿宋_GB2312" w:cs="宋体"/>
                <w:kern w:val="0"/>
                <w:sz w:val="24"/>
                <w:highlight w:val="yellow"/>
                <w:lang w:val="zh-CN"/>
              </w:rPr>
            </w:pPr>
            <w:r>
              <w:rPr>
                <w:rFonts w:hint="eastAsia" w:ascii="仿宋_GB2312" w:hAnsi="仿宋" w:eastAsia="仿宋_GB2312" w:cs="宋体"/>
                <w:kern w:val="0"/>
                <w:sz w:val="24"/>
                <w:lang w:val="zh-CN"/>
              </w:rPr>
              <w:t>没有</w:t>
            </w:r>
            <w:r>
              <w:rPr>
                <w:rFonts w:hint="eastAsia" w:ascii="仿宋_GB2312" w:hAnsi="仿宋" w:eastAsia="仿宋_GB2312" w:cs="宋体"/>
                <w:kern w:val="0"/>
                <w:sz w:val="24"/>
              </w:rPr>
              <w:t>的</w:t>
            </w:r>
            <w:r>
              <w:rPr>
                <w:rFonts w:hint="eastAsia" w:ascii="仿宋_GB2312" w:hAnsi="仿宋" w:eastAsia="仿宋_GB2312" w:cs="宋体"/>
                <w:kern w:val="0"/>
                <w:sz w:val="24"/>
                <w:lang w:val="zh-CN"/>
              </w:rPr>
              <w:t>不得分。</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6</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ind w:left="240"/>
              <w:rPr>
                <w:rFonts w:ascii="仿宋_GB2312" w:hAnsi="仿宋" w:eastAsia="仿宋_GB2312" w:cs="宋体"/>
                <w:color w:val="000000"/>
                <w:kern w:val="0"/>
                <w:sz w:val="24"/>
                <w:lang w:val="zh-CN"/>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lang w:val="zh-CN"/>
              </w:rPr>
              <w:t>2.</w:t>
            </w:r>
            <w:r>
              <w:rPr>
                <w:rFonts w:hint="eastAsia" w:ascii="仿宋_GB2312" w:hAnsi="仿宋" w:eastAsia="仿宋_GB2312" w:cs="宋体"/>
                <w:kern w:val="0"/>
                <w:sz w:val="24"/>
              </w:rPr>
              <w:t>2</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落实国家卫生健康委疫情期间继续医学教育要求，做出政策调整的相关规定</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rPr>
            </w:pPr>
            <w:r>
              <w:rPr>
                <w:rFonts w:hint="eastAsia" w:ascii="仿宋_GB2312" w:hAnsi="仿宋" w:eastAsia="仿宋_GB2312" w:cs="宋体"/>
                <w:kern w:val="0"/>
                <w:sz w:val="24"/>
              </w:rPr>
              <w:t>有相应的文件或材料，得5分；</w:t>
            </w:r>
          </w:p>
          <w:p>
            <w:pPr>
              <w:widowControl/>
              <w:adjustRightInd w:val="0"/>
              <w:snapToGrid w:val="0"/>
              <w:spacing w:line="276" w:lineRule="auto"/>
              <w:ind w:left="-4" w:hanging="4"/>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没有，不得分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5</w:t>
            </w:r>
          </w:p>
        </w:tc>
        <w:tc>
          <w:tcPr>
            <w:tcW w:w="709" w:type="dxa"/>
            <w:vAlign w:val="center"/>
          </w:tcPr>
          <w:p>
            <w:pPr>
              <w:widowControl/>
              <w:adjustRightInd w:val="0"/>
              <w:snapToGrid w:val="0"/>
              <w:spacing w:line="276" w:lineRule="auto"/>
              <w:ind w:left="-4" w:hanging="4"/>
              <w:jc w:val="center"/>
              <w:rPr>
                <w:rFonts w:hint="default"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ind w:left="240"/>
              <w:rPr>
                <w:rFonts w:ascii="仿宋_GB2312" w:hAnsi="仿宋" w:eastAsia="仿宋_GB2312" w:cs="宋体"/>
                <w:color w:val="000000"/>
                <w:kern w:val="0"/>
                <w:sz w:val="24"/>
                <w:lang w:val="zh-CN"/>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rPr>
              <w:t>2.3</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落实国家卫生健康委为基层医务人员减负（继续医学教育）的措施</w:t>
            </w:r>
          </w:p>
        </w:tc>
        <w:tc>
          <w:tcPr>
            <w:tcW w:w="5670" w:type="dxa"/>
            <w:vAlign w:val="center"/>
          </w:tcPr>
          <w:p>
            <w:pPr>
              <w:widowControl/>
              <w:adjustRightInd w:val="0"/>
              <w:snapToGrid w:val="0"/>
              <w:spacing w:line="276" w:lineRule="auto"/>
              <w:ind w:left="-4" w:hanging="4"/>
              <w:jc w:val="left"/>
              <w:rPr>
                <w:rFonts w:hint="eastAsia" w:ascii="仿宋_GB2312" w:hAnsi="仿宋" w:eastAsia="仿宋_GB2312" w:cs="宋体"/>
                <w:kern w:val="0"/>
                <w:sz w:val="24"/>
              </w:rPr>
            </w:pPr>
            <w:r>
              <w:rPr>
                <w:rFonts w:hint="eastAsia" w:ascii="仿宋_GB2312" w:hAnsi="仿宋" w:eastAsia="仿宋_GB2312" w:cs="宋体"/>
                <w:kern w:val="0"/>
                <w:sz w:val="24"/>
              </w:rPr>
              <w:t>有要求、有相应文件、有检查或材料，得4分；</w:t>
            </w:r>
          </w:p>
          <w:p>
            <w:pPr>
              <w:widowControl/>
              <w:adjustRightInd w:val="0"/>
              <w:snapToGrid w:val="0"/>
              <w:spacing w:line="276" w:lineRule="auto"/>
              <w:ind w:left="-4" w:hanging="4"/>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仅有文件、无检查材料，得2分；</w:t>
            </w:r>
          </w:p>
          <w:p>
            <w:pPr>
              <w:widowControl/>
              <w:adjustRightInd w:val="0"/>
              <w:snapToGrid w:val="0"/>
              <w:spacing w:line="276" w:lineRule="auto"/>
              <w:ind w:left="-4" w:hanging="4"/>
              <w:jc w:val="left"/>
              <w:rPr>
                <w:rFonts w:hint="eastAsia" w:ascii="仿宋_GB2312" w:hAnsi="仿宋" w:eastAsia="仿宋_GB2312" w:cs="宋体"/>
                <w:kern w:val="0"/>
                <w:sz w:val="24"/>
                <w:lang w:eastAsia="zh-CN"/>
              </w:rPr>
            </w:pPr>
            <w:r>
              <w:rPr>
                <w:rFonts w:hint="eastAsia" w:ascii="仿宋_GB2312" w:hAnsi="仿宋" w:eastAsia="仿宋_GB2312" w:cs="宋体"/>
                <w:kern w:val="0"/>
                <w:sz w:val="24"/>
              </w:rPr>
              <w:t>没有，不得分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4</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restart"/>
            <w:vAlign w:val="center"/>
          </w:tcPr>
          <w:p>
            <w:pPr>
              <w:widowControl/>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3.制度建设执行</w:t>
            </w: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1</w:t>
            </w:r>
            <w:r>
              <w:rPr>
                <w:rFonts w:hint="eastAsia" w:ascii="仿宋_GB2312" w:hAnsi="仿宋" w:eastAsia="仿宋_GB2312" w:cs="宋体"/>
                <w:color w:val="000000"/>
                <w:kern w:val="0"/>
                <w:sz w:val="24"/>
                <w:lang w:val="zh-CN"/>
              </w:rPr>
              <w:t>0分）</w:t>
            </w: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rPr>
              <w:t>3.1</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有</w:t>
            </w:r>
            <w:r>
              <w:rPr>
                <w:rFonts w:hint="eastAsia" w:ascii="仿宋_GB2312" w:hAnsi="仿宋" w:eastAsia="仿宋_GB2312" w:cs="宋体"/>
                <w:kern w:val="0"/>
                <w:sz w:val="24"/>
                <w:lang w:val="en-US" w:eastAsia="zh-CN"/>
              </w:rPr>
              <w:t>市</w:t>
            </w:r>
            <w:r>
              <w:rPr>
                <w:rFonts w:hint="eastAsia" w:ascii="仿宋_GB2312" w:hAnsi="仿宋" w:eastAsia="仿宋_GB2312" w:cs="宋体"/>
                <w:kern w:val="0"/>
                <w:sz w:val="24"/>
                <w:lang w:val="zh-CN"/>
              </w:rPr>
              <w:t>级继续医学教育</w:t>
            </w:r>
            <w:r>
              <w:rPr>
                <w:rFonts w:hint="eastAsia" w:ascii="仿宋_GB2312" w:hAnsi="仿宋" w:eastAsia="仿宋_GB2312" w:cs="宋体"/>
                <w:kern w:val="0"/>
                <w:sz w:val="24"/>
              </w:rPr>
              <w:t>计划</w:t>
            </w:r>
            <w:r>
              <w:rPr>
                <w:rFonts w:hint="eastAsia" w:ascii="仿宋_GB2312" w:hAnsi="仿宋" w:eastAsia="仿宋_GB2312" w:cs="宋体"/>
                <w:kern w:val="0"/>
                <w:sz w:val="24"/>
                <w:lang w:val="zh-CN"/>
              </w:rPr>
              <w:t>、规章制度</w:t>
            </w:r>
          </w:p>
        </w:tc>
        <w:tc>
          <w:tcPr>
            <w:tcW w:w="5670" w:type="dxa"/>
            <w:vAlign w:val="center"/>
          </w:tcPr>
          <w:p>
            <w:pPr>
              <w:widowControl/>
              <w:adjustRightInd w:val="0"/>
              <w:snapToGrid w:val="0"/>
              <w:spacing w:line="276" w:lineRule="auto"/>
              <w:ind w:left="-4" w:hanging="4"/>
              <w:jc w:val="left"/>
              <w:rPr>
                <w:rFonts w:hint="eastAsia" w:ascii="仿宋_GB2312" w:hAnsi="仿宋" w:eastAsia="仿宋_GB2312" w:cs="宋体"/>
                <w:kern w:val="0"/>
                <w:sz w:val="24"/>
                <w:lang w:val="zh-CN"/>
              </w:rPr>
            </w:pPr>
            <w:r>
              <w:rPr>
                <w:rFonts w:hint="eastAsia" w:ascii="仿宋_GB2312" w:hAnsi="仿宋" w:eastAsia="仿宋_GB2312" w:cs="宋体"/>
                <w:kern w:val="0"/>
                <w:sz w:val="24"/>
                <w:lang w:val="zh-CN"/>
              </w:rPr>
              <w:t>颁布或修订</w:t>
            </w:r>
            <w:r>
              <w:rPr>
                <w:rFonts w:hint="eastAsia" w:ascii="仿宋_GB2312" w:hAnsi="仿宋" w:eastAsia="仿宋_GB2312" w:cs="宋体"/>
                <w:kern w:val="0"/>
                <w:sz w:val="24"/>
              </w:rPr>
              <w:t>计划</w:t>
            </w:r>
            <w:r>
              <w:rPr>
                <w:rFonts w:hint="eastAsia" w:ascii="仿宋_GB2312" w:hAnsi="仿宋" w:eastAsia="仿宋_GB2312" w:cs="宋体"/>
                <w:kern w:val="0"/>
                <w:sz w:val="24"/>
                <w:lang w:val="zh-CN"/>
              </w:rPr>
              <w:t>、规章制度，得</w:t>
            </w:r>
            <w:r>
              <w:rPr>
                <w:rFonts w:hint="eastAsia" w:ascii="仿宋_GB2312" w:hAnsi="仿宋" w:eastAsia="仿宋_GB2312" w:cs="宋体"/>
                <w:kern w:val="0"/>
                <w:sz w:val="24"/>
              </w:rPr>
              <w:t>5</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仅修订计划，得2分；</w:t>
            </w:r>
          </w:p>
          <w:p>
            <w:pPr>
              <w:widowControl/>
              <w:adjustRightInd w:val="0"/>
              <w:snapToGrid w:val="0"/>
              <w:spacing w:line="276" w:lineRule="auto"/>
              <w:ind w:left="-4" w:hanging="4"/>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没有，不得分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5</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3.2</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规章制度落实执行</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rPr>
            </w:pPr>
            <w:r>
              <w:rPr>
                <w:rFonts w:hint="eastAsia" w:ascii="仿宋_GB2312" w:hAnsi="仿宋" w:eastAsia="仿宋_GB2312" w:cs="宋体"/>
                <w:kern w:val="0"/>
                <w:sz w:val="24"/>
              </w:rPr>
              <w:t>规章制度（考核、登记、评估等）落实执行到位，得5分；</w:t>
            </w:r>
          </w:p>
          <w:p>
            <w:pPr>
              <w:widowControl/>
              <w:adjustRightInd w:val="0"/>
              <w:snapToGrid w:val="0"/>
              <w:spacing w:line="276" w:lineRule="auto"/>
              <w:ind w:left="-4" w:hanging="4"/>
              <w:jc w:val="left"/>
              <w:rPr>
                <w:rFonts w:hint="eastAsia" w:ascii="仿宋_GB2312" w:hAnsi="仿宋" w:eastAsia="仿宋_GB2312" w:cs="宋体"/>
                <w:kern w:val="0"/>
                <w:sz w:val="24"/>
                <w:lang w:eastAsia="zh-CN"/>
              </w:rPr>
            </w:pPr>
            <w:r>
              <w:rPr>
                <w:rFonts w:hint="eastAsia" w:ascii="仿宋_GB2312" w:hAnsi="仿宋" w:eastAsia="仿宋_GB2312" w:cs="宋体"/>
                <w:kern w:val="0"/>
                <w:sz w:val="24"/>
              </w:rPr>
              <w:t>没有，不得分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5</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restart"/>
            <w:vAlign w:val="center"/>
          </w:tcPr>
          <w:p>
            <w:pPr>
              <w:widowControl/>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4.履职尽责情况</w:t>
            </w:r>
          </w:p>
          <w:p>
            <w:pPr>
              <w:widowControl/>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33</w:t>
            </w:r>
            <w:r>
              <w:rPr>
                <w:rFonts w:hint="eastAsia" w:ascii="仿宋_GB2312" w:hAnsi="仿宋" w:eastAsia="仿宋_GB2312" w:cs="宋体"/>
                <w:color w:val="000000"/>
                <w:kern w:val="0"/>
                <w:sz w:val="24"/>
                <w:lang w:val="zh-CN"/>
              </w:rPr>
              <w:t>分）</w:t>
            </w: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4.1</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担当起属地管理职责</w:t>
            </w:r>
          </w:p>
        </w:tc>
        <w:tc>
          <w:tcPr>
            <w:tcW w:w="5670" w:type="dxa"/>
            <w:vAlign w:val="center"/>
          </w:tcPr>
          <w:p>
            <w:pPr>
              <w:widowControl/>
              <w:adjustRightInd w:val="0"/>
              <w:snapToGrid w:val="0"/>
              <w:spacing w:line="276" w:lineRule="auto"/>
              <w:ind w:left="-4" w:hanging="4"/>
              <w:jc w:val="left"/>
              <w:rPr>
                <w:rFonts w:hint="eastAsia" w:ascii="仿宋_GB2312" w:hAnsi="仿宋" w:eastAsia="仿宋_GB2312" w:cs="宋体"/>
                <w:kern w:val="0"/>
                <w:sz w:val="24"/>
              </w:rPr>
            </w:pPr>
            <w:r>
              <w:rPr>
                <w:rFonts w:hint="eastAsia" w:ascii="仿宋_GB2312" w:hAnsi="仿宋" w:eastAsia="仿宋_GB2312" w:cs="宋体"/>
                <w:kern w:val="0"/>
                <w:sz w:val="24"/>
              </w:rPr>
              <w:t>对辖区内单位监督、管理到位，得3分；</w:t>
            </w:r>
          </w:p>
          <w:p>
            <w:pPr>
              <w:widowControl/>
              <w:adjustRightInd w:val="0"/>
              <w:snapToGrid w:val="0"/>
              <w:spacing w:line="276" w:lineRule="auto"/>
              <w:ind w:left="-4" w:hanging="4"/>
              <w:jc w:val="left"/>
              <w:rPr>
                <w:rFonts w:hint="eastAsia" w:ascii="仿宋_GB2312" w:hAnsi="仿宋" w:eastAsia="仿宋_GB2312" w:cs="宋体"/>
                <w:kern w:val="0"/>
                <w:sz w:val="24"/>
                <w:lang w:eastAsia="zh-CN"/>
              </w:rPr>
            </w:pPr>
            <w:r>
              <w:rPr>
                <w:rFonts w:hint="eastAsia" w:ascii="仿宋_GB2312" w:hAnsi="仿宋" w:eastAsia="仿宋_GB2312" w:cs="宋体"/>
                <w:kern w:val="0"/>
                <w:sz w:val="24"/>
              </w:rPr>
              <w:t>缺失或不到位，不得分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4.2</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对</w:t>
            </w:r>
            <w:r>
              <w:rPr>
                <w:rFonts w:hint="eastAsia" w:ascii="仿宋_GB2312" w:hAnsi="仿宋" w:eastAsia="仿宋_GB2312" w:cs="宋体"/>
                <w:kern w:val="0"/>
                <w:sz w:val="24"/>
                <w:lang w:val="en-US" w:eastAsia="zh-CN"/>
              </w:rPr>
              <w:t>外地市</w:t>
            </w:r>
            <w:r>
              <w:rPr>
                <w:rFonts w:hint="eastAsia" w:ascii="仿宋_GB2312" w:hAnsi="仿宋" w:eastAsia="仿宋_GB2312" w:cs="宋体"/>
                <w:kern w:val="0"/>
                <w:sz w:val="24"/>
              </w:rPr>
              <w:t>（单位）在本</w:t>
            </w:r>
            <w:r>
              <w:rPr>
                <w:rFonts w:hint="eastAsia" w:ascii="仿宋_GB2312" w:hAnsi="仿宋" w:eastAsia="仿宋_GB2312" w:cs="宋体"/>
                <w:kern w:val="0"/>
                <w:sz w:val="24"/>
                <w:lang w:val="en-US" w:eastAsia="zh-CN"/>
              </w:rPr>
              <w:t>市</w:t>
            </w:r>
            <w:r>
              <w:rPr>
                <w:rFonts w:hint="eastAsia" w:ascii="仿宋_GB2312" w:hAnsi="仿宋" w:eastAsia="仿宋_GB2312" w:cs="宋体"/>
                <w:kern w:val="0"/>
                <w:sz w:val="24"/>
                <w:lang w:val="zh-CN"/>
              </w:rPr>
              <w:t>举办的</w:t>
            </w:r>
            <w:r>
              <w:rPr>
                <w:rFonts w:hint="eastAsia" w:ascii="仿宋_GB2312" w:hAnsi="仿宋" w:eastAsia="仿宋_GB2312" w:cs="宋体"/>
                <w:kern w:val="0"/>
                <w:sz w:val="24"/>
                <w:lang w:val="en-US" w:eastAsia="zh-CN"/>
              </w:rPr>
              <w:t>各</w:t>
            </w:r>
            <w:r>
              <w:rPr>
                <w:rFonts w:hint="eastAsia" w:ascii="仿宋_GB2312" w:hAnsi="仿宋" w:eastAsia="仿宋_GB2312" w:cs="宋体"/>
                <w:kern w:val="0"/>
                <w:sz w:val="24"/>
                <w:lang w:val="zh-CN"/>
              </w:rPr>
              <w:t>级继续医学教育项目进行审核并备案</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按照规定进行审核、备案，得3分；</w:t>
            </w:r>
          </w:p>
          <w:p>
            <w:pPr>
              <w:widowControl/>
              <w:adjustRightInd w:val="0"/>
              <w:snapToGrid w:val="0"/>
              <w:spacing w:line="276" w:lineRule="auto"/>
              <w:ind w:left="-4" w:hanging="4"/>
              <w:jc w:val="left"/>
              <w:rPr>
                <w:rFonts w:ascii="仿宋_GB2312" w:hAnsi="仿宋" w:eastAsia="仿宋_GB2312" w:cs="宋体"/>
                <w:kern w:val="0"/>
                <w:sz w:val="24"/>
                <w:highlight w:val="yellow"/>
                <w:lang w:val="zh-CN"/>
              </w:rPr>
            </w:pPr>
            <w:r>
              <w:rPr>
                <w:rFonts w:hint="eastAsia" w:ascii="仿宋_GB2312" w:hAnsi="仿宋" w:eastAsia="仿宋_GB2312" w:cs="宋体"/>
                <w:kern w:val="0"/>
                <w:sz w:val="24"/>
                <w:lang w:val="zh-CN"/>
              </w:rPr>
              <w:t>不审核不备案，不得分。</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highlight w:val="yellow"/>
              </w:rPr>
            </w:pPr>
            <w:r>
              <w:rPr>
                <w:rFonts w:hint="eastAsia" w:ascii="仿宋_GB2312" w:hAnsi="仿宋" w:eastAsia="仿宋_GB2312" w:cs="宋体"/>
                <w:kern w:val="0"/>
                <w:sz w:val="24"/>
              </w:rPr>
              <w:t>4</w:t>
            </w:r>
            <w:r>
              <w:rPr>
                <w:rFonts w:hint="eastAsia" w:ascii="仿宋_GB2312" w:hAnsi="仿宋" w:eastAsia="仿宋_GB2312" w:cs="宋体"/>
                <w:kern w:val="0"/>
                <w:sz w:val="24"/>
                <w:lang w:val="zh-CN"/>
              </w:rPr>
              <w:t>.3</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归口管理单位出现违反继续医学教育有关规定事件</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没有违规事件或核实并处理，得</w:t>
            </w:r>
            <w:r>
              <w:rPr>
                <w:rFonts w:hint="eastAsia" w:ascii="仿宋_GB2312" w:hAnsi="仿宋" w:eastAsia="仿宋_GB2312" w:cs="宋体"/>
                <w:kern w:val="0"/>
                <w:sz w:val="24"/>
              </w:rPr>
              <w:t>3</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ascii="仿宋_GB2312" w:hAnsi="仿宋" w:eastAsia="仿宋_GB2312" w:cs="宋体"/>
                <w:kern w:val="0"/>
                <w:sz w:val="24"/>
                <w:highlight w:val="yellow"/>
                <w:lang w:val="zh-CN"/>
              </w:rPr>
            </w:pPr>
            <w:r>
              <w:rPr>
                <w:rFonts w:hint="eastAsia" w:ascii="仿宋_GB2312" w:hAnsi="仿宋" w:eastAsia="仿宋_GB2312" w:cs="宋体"/>
                <w:kern w:val="0"/>
                <w:sz w:val="24"/>
                <w:lang w:val="zh-CN"/>
              </w:rPr>
              <w:t>不核实或不处理，不得分。</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highlight w:val="yellow"/>
                <w:lang w:val="en-US" w:eastAsia="zh-CN"/>
              </w:rPr>
            </w:pPr>
            <w:r>
              <w:rPr>
                <w:rFonts w:hint="eastAsia" w:ascii="仿宋_GB2312" w:hAnsi="仿宋" w:eastAsia="仿宋_GB2312" w:cs="宋体"/>
                <w:kern w:val="0"/>
                <w:sz w:val="24"/>
                <w:highlight w:val="none"/>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color w:val="FF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ind w:left="480" w:hanging="480" w:hangingChars="200"/>
              <w:jc w:val="left"/>
              <w:rPr>
                <w:rFonts w:ascii="仿宋_GB2312" w:hAnsi="仿宋" w:eastAsia="仿宋_GB2312" w:cs="宋体"/>
                <w:kern w:val="0"/>
                <w:sz w:val="24"/>
              </w:rPr>
            </w:pPr>
            <w:r>
              <w:rPr>
                <w:rFonts w:hint="eastAsia" w:ascii="仿宋_GB2312" w:hAnsi="仿宋" w:eastAsia="仿宋_GB2312" w:cs="宋体"/>
                <w:kern w:val="0"/>
                <w:sz w:val="24"/>
              </w:rPr>
              <w:t>4.4</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执行</w:t>
            </w:r>
            <w:r>
              <w:rPr>
                <w:rFonts w:hint="eastAsia" w:ascii="仿宋_GB2312" w:hAnsi="仿宋" w:eastAsia="仿宋_GB2312" w:cs="宋体"/>
                <w:kern w:val="0"/>
                <w:sz w:val="24"/>
                <w:lang w:val="zh-CN"/>
              </w:rPr>
              <w:t>年度工作计划</w:t>
            </w:r>
            <w:r>
              <w:rPr>
                <w:rFonts w:hint="eastAsia" w:ascii="仿宋_GB2312" w:hAnsi="仿宋" w:eastAsia="仿宋_GB2312" w:cs="宋体"/>
                <w:kern w:val="0"/>
                <w:sz w:val="24"/>
              </w:rPr>
              <w:t>有总结</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rPr>
              <w:t>执行</w:t>
            </w:r>
            <w:r>
              <w:rPr>
                <w:rFonts w:hint="eastAsia" w:ascii="仿宋_GB2312" w:hAnsi="仿宋" w:eastAsia="仿宋_GB2312" w:cs="宋体"/>
                <w:kern w:val="0"/>
                <w:sz w:val="24"/>
                <w:lang w:val="zh-CN"/>
              </w:rPr>
              <w:t>年度工作</w:t>
            </w:r>
            <w:r>
              <w:rPr>
                <w:rFonts w:hint="eastAsia" w:ascii="仿宋_GB2312" w:hAnsi="仿宋" w:eastAsia="仿宋_GB2312" w:cs="宋体"/>
                <w:kern w:val="0"/>
                <w:sz w:val="24"/>
              </w:rPr>
              <w:t>计划有总结</w:t>
            </w:r>
            <w:r>
              <w:rPr>
                <w:rFonts w:hint="eastAsia" w:ascii="仿宋_GB2312" w:hAnsi="仿宋" w:eastAsia="仿宋_GB2312" w:cs="宋体"/>
                <w:kern w:val="0"/>
                <w:sz w:val="24"/>
                <w:lang w:val="zh-CN"/>
              </w:rPr>
              <w:t>，或</w:t>
            </w:r>
            <w:r>
              <w:rPr>
                <w:rFonts w:hint="eastAsia" w:ascii="仿宋_GB2312" w:hAnsi="仿宋" w:eastAsia="仿宋_GB2312" w:cs="宋体"/>
                <w:kern w:val="0"/>
                <w:sz w:val="24"/>
              </w:rPr>
              <w:t>有</w:t>
            </w:r>
            <w:r>
              <w:rPr>
                <w:rFonts w:hint="eastAsia" w:ascii="仿宋_GB2312" w:hAnsi="仿宋" w:eastAsia="仿宋_GB2312" w:cs="宋体"/>
                <w:kern w:val="0"/>
                <w:sz w:val="24"/>
                <w:lang w:val="en-US" w:eastAsia="zh-CN"/>
              </w:rPr>
              <w:t>各级</w:t>
            </w:r>
            <w:r>
              <w:rPr>
                <w:rFonts w:hint="eastAsia" w:ascii="仿宋_GB2312" w:hAnsi="仿宋" w:eastAsia="仿宋_GB2312" w:cs="宋体"/>
                <w:kern w:val="0"/>
                <w:sz w:val="24"/>
                <w:lang w:val="zh-CN"/>
              </w:rPr>
              <w:t>继续医学教育项目执行总结，得</w:t>
            </w:r>
            <w:r>
              <w:rPr>
                <w:rFonts w:hint="eastAsia" w:ascii="仿宋_GB2312" w:hAnsi="仿宋" w:eastAsia="仿宋_GB2312" w:cs="宋体"/>
                <w:kern w:val="0"/>
                <w:sz w:val="24"/>
              </w:rPr>
              <w:t>3</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没有，不得分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center"/>
              <w:rPr>
                <w:rFonts w:ascii="仿宋_GB2312" w:hAnsi="仿宋" w:eastAsia="仿宋_GB2312" w:cs="宋体"/>
                <w:kern w:val="0"/>
                <w:sz w:val="24"/>
              </w:rPr>
            </w:pPr>
            <w:r>
              <w:rPr>
                <w:rFonts w:hint="eastAsia" w:ascii="仿宋_GB2312" w:hAnsi="仿宋" w:eastAsia="仿宋_GB2312" w:cs="宋体"/>
                <w:kern w:val="0"/>
                <w:sz w:val="24"/>
              </w:rPr>
              <w:t>4.5</w:t>
            </w:r>
            <w:r>
              <w:rPr>
                <w:rFonts w:hint="eastAsia" w:ascii="仿宋_GB2312" w:hAnsi="仿宋" w:eastAsia="仿宋_GB2312" w:cs="宋体"/>
                <w:kern w:val="0"/>
                <w:sz w:val="24"/>
                <w:lang w:val="en-US" w:eastAsia="zh-CN"/>
              </w:rPr>
              <w:t xml:space="preserve"> 各级</w:t>
            </w:r>
            <w:r>
              <w:rPr>
                <w:rFonts w:hint="eastAsia" w:ascii="仿宋_GB2312" w:hAnsi="仿宋" w:eastAsia="仿宋_GB2312" w:cs="宋体"/>
                <w:kern w:val="0"/>
                <w:sz w:val="24"/>
              </w:rPr>
              <w:t>继续医学教育项目质量采取的措施</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严格审核项目承办单位资质、师资力量、培训内容等，得</w:t>
            </w:r>
            <w:r>
              <w:rPr>
                <w:rFonts w:hint="eastAsia" w:ascii="仿宋_GB2312" w:hAnsi="仿宋" w:eastAsia="仿宋_GB2312" w:cs="宋体"/>
                <w:kern w:val="0"/>
                <w:sz w:val="24"/>
              </w:rPr>
              <w:t>3</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hint="eastAsia" w:ascii="仿宋_GB2312" w:hAnsi="仿宋" w:eastAsia="仿宋_GB2312" w:cs="宋体"/>
                <w:kern w:val="0"/>
                <w:sz w:val="24"/>
                <w:lang w:eastAsia="zh-CN"/>
              </w:rPr>
            </w:pPr>
            <w:r>
              <w:rPr>
                <w:rFonts w:hint="eastAsia" w:ascii="仿宋_GB2312" w:hAnsi="仿宋" w:eastAsia="仿宋_GB2312" w:cs="宋体"/>
                <w:kern w:val="0"/>
                <w:sz w:val="24"/>
              </w:rPr>
              <w:t>出现问题，不得分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highlight w:val="yellow"/>
              </w:rPr>
            </w:pPr>
            <w:r>
              <w:rPr>
                <w:rFonts w:hint="eastAsia" w:ascii="仿宋_GB2312" w:hAnsi="仿宋" w:eastAsia="仿宋_GB2312" w:cs="宋体"/>
                <w:kern w:val="0"/>
                <w:sz w:val="24"/>
              </w:rPr>
              <w:t>4</w:t>
            </w:r>
            <w:r>
              <w:rPr>
                <w:rFonts w:hint="eastAsia" w:ascii="仿宋_GB2312" w:hAnsi="仿宋" w:eastAsia="仿宋_GB2312" w:cs="宋体"/>
                <w:kern w:val="0"/>
                <w:sz w:val="24"/>
                <w:lang w:val="zh-CN"/>
              </w:rPr>
              <w:t>.6</w:t>
            </w:r>
            <w:r>
              <w:rPr>
                <w:rFonts w:hint="eastAsia" w:ascii="仿宋_GB2312" w:hAnsi="仿宋" w:eastAsia="仿宋_GB2312" w:cs="宋体"/>
                <w:kern w:val="0"/>
                <w:sz w:val="24"/>
                <w:lang w:val="en-US" w:eastAsia="zh-CN"/>
              </w:rPr>
              <w:t xml:space="preserve"> 国家级、省</w:t>
            </w:r>
            <w:r>
              <w:rPr>
                <w:rFonts w:hint="eastAsia" w:ascii="仿宋_GB2312" w:hAnsi="仿宋" w:eastAsia="仿宋_GB2312" w:cs="宋体"/>
                <w:kern w:val="0"/>
                <w:sz w:val="24"/>
                <w:lang w:val="zh-CN"/>
              </w:rPr>
              <w:t>级继续医学教育项目完成后</w:t>
            </w:r>
            <w:r>
              <w:rPr>
                <w:rFonts w:hint="eastAsia" w:ascii="仿宋_GB2312" w:hAnsi="仿宋" w:eastAsia="仿宋_GB2312" w:cs="宋体"/>
                <w:kern w:val="0"/>
                <w:sz w:val="24"/>
                <w:lang w:val="en-US" w:eastAsia="zh-CN"/>
              </w:rPr>
              <w:t>在规定时间</w:t>
            </w:r>
            <w:r>
              <w:rPr>
                <w:rFonts w:hint="eastAsia" w:ascii="仿宋_GB2312" w:hAnsi="仿宋" w:eastAsia="仿宋_GB2312" w:cs="宋体"/>
                <w:kern w:val="0"/>
                <w:sz w:val="24"/>
                <w:lang w:val="zh-CN"/>
              </w:rPr>
              <w:t>审核，并网上报送</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及时审核并报送，得3分；</w:t>
            </w:r>
          </w:p>
          <w:p>
            <w:pPr>
              <w:widowControl/>
              <w:adjustRightInd w:val="0"/>
              <w:snapToGrid w:val="0"/>
              <w:spacing w:line="276" w:lineRule="auto"/>
              <w:ind w:left="-4" w:hanging="4"/>
              <w:jc w:val="left"/>
              <w:rPr>
                <w:rFonts w:hint="eastAsia" w:ascii="仿宋_GB2312" w:hAnsi="仿宋" w:eastAsia="仿宋_GB2312" w:cs="宋体"/>
                <w:kern w:val="0"/>
                <w:sz w:val="24"/>
                <w:lang w:val="zh-CN"/>
              </w:rPr>
            </w:pPr>
            <w:r>
              <w:rPr>
                <w:rFonts w:hint="eastAsia" w:ascii="仿宋_GB2312" w:hAnsi="仿宋" w:eastAsia="仿宋_GB2312" w:cs="宋体"/>
                <w:kern w:val="0"/>
                <w:sz w:val="24"/>
                <w:lang w:val="zh-CN"/>
              </w:rPr>
              <w:t>延迟审核报送，得1分；</w:t>
            </w:r>
          </w:p>
          <w:p>
            <w:pPr>
              <w:widowControl/>
              <w:adjustRightInd w:val="0"/>
              <w:snapToGrid w:val="0"/>
              <w:spacing w:line="276" w:lineRule="auto"/>
              <w:ind w:left="-4" w:hanging="4"/>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未报送，不得分。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ascii="仿宋_GB2312" w:hAnsi="仿宋" w:eastAsia="仿宋_GB2312" w:cs="宋体"/>
                <w:kern w:val="0"/>
                <w:sz w:val="24"/>
                <w:lang w:val="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rPr>
              <w:t>4.7</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召开全</w:t>
            </w:r>
            <w:r>
              <w:rPr>
                <w:rFonts w:hint="eastAsia" w:ascii="仿宋_GB2312" w:hAnsi="仿宋" w:eastAsia="仿宋_GB2312" w:cs="宋体"/>
                <w:kern w:val="0"/>
                <w:sz w:val="24"/>
                <w:lang w:val="en-US" w:eastAsia="zh-CN"/>
              </w:rPr>
              <w:t>市</w:t>
            </w:r>
            <w:r>
              <w:rPr>
                <w:rFonts w:hint="eastAsia" w:ascii="仿宋_GB2312" w:hAnsi="仿宋" w:eastAsia="仿宋_GB2312" w:cs="宋体"/>
                <w:kern w:val="0"/>
                <w:sz w:val="24"/>
                <w:lang w:val="zh-CN"/>
              </w:rPr>
              <w:t>继续医学教育专题会议</w:t>
            </w:r>
            <w:r>
              <w:rPr>
                <w:rFonts w:hint="eastAsia" w:ascii="仿宋_GB2312" w:hAnsi="仿宋" w:eastAsia="仿宋_GB2312" w:cs="宋体"/>
                <w:kern w:val="0"/>
                <w:sz w:val="24"/>
              </w:rPr>
              <w:t>或</w:t>
            </w:r>
            <w:r>
              <w:rPr>
                <w:rFonts w:hint="eastAsia" w:ascii="仿宋_GB2312" w:hAnsi="仿宋" w:eastAsia="仿宋_GB2312" w:cs="宋体"/>
                <w:kern w:val="0"/>
                <w:sz w:val="24"/>
                <w:lang w:val="zh-CN"/>
              </w:rPr>
              <w:t>培训等</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近三年召开专题会议</w:t>
            </w:r>
            <w:r>
              <w:rPr>
                <w:rFonts w:hint="eastAsia" w:ascii="仿宋_GB2312" w:hAnsi="仿宋" w:eastAsia="仿宋_GB2312" w:cs="宋体"/>
                <w:kern w:val="0"/>
                <w:sz w:val="24"/>
              </w:rPr>
              <w:t>或组织</w:t>
            </w:r>
            <w:r>
              <w:rPr>
                <w:rFonts w:hint="eastAsia" w:ascii="仿宋_GB2312" w:hAnsi="仿宋" w:eastAsia="仿宋_GB2312" w:cs="宋体"/>
                <w:kern w:val="0"/>
                <w:sz w:val="24"/>
                <w:lang w:val="zh-CN"/>
              </w:rPr>
              <w:t>培训</w:t>
            </w:r>
            <w:r>
              <w:rPr>
                <w:rFonts w:hint="eastAsia" w:ascii="仿宋_GB2312" w:hAnsi="仿宋" w:eastAsia="仿宋_GB2312" w:cs="宋体"/>
                <w:kern w:val="0"/>
                <w:sz w:val="24"/>
              </w:rPr>
              <w:t>的</w:t>
            </w:r>
            <w:r>
              <w:rPr>
                <w:rFonts w:hint="eastAsia" w:ascii="仿宋_GB2312" w:hAnsi="仿宋" w:eastAsia="仿宋_GB2312" w:cs="宋体"/>
                <w:kern w:val="0"/>
                <w:sz w:val="24"/>
                <w:lang w:val="zh-CN"/>
              </w:rPr>
              <w:t>，得</w:t>
            </w:r>
            <w:r>
              <w:rPr>
                <w:rFonts w:hint="eastAsia" w:ascii="仿宋_GB2312" w:hAnsi="仿宋" w:eastAsia="仿宋_GB2312" w:cs="宋体"/>
                <w:kern w:val="0"/>
                <w:sz w:val="24"/>
              </w:rPr>
              <w:t>3</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rPr>
              <w:t>没有，不得</w:t>
            </w:r>
            <w:r>
              <w:rPr>
                <w:rFonts w:hint="eastAsia" w:ascii="仿宋_GB2312" w:hAnsi="仿宋" w:eastAsia="仿宋_GB2312" w:cs="宋体"/>
                <w:kern w:val="0"/>
                <w:sz w:val="24"/>
                <w:lang w:val="zh-CN"/>
              </w:rPr>
              <w:t>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lang w:val="zh-CN"/>
              </w:rPr>
            </w:pPr>
            <w:r>
              <w:rPr>
                <w:rFonts w:hint="eastAsia" w:ascii="仿宋_GB2312" w:hAnsi="仿宋" w:eastAsia="仿宋_GB2312" w:cs="宋体"/>
                <w:kern w:val="0"/>
                <w:sz w:val="24"/>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tcPr>
          <w:p>
            <w:pPr>
              <w:widowControl/>
              <w:adjustRightInd w:val="0"/>
              <w:snapToGrid w:val="0"/>
              <w:spacing w:line="276" w:lineRule="auto"/>
              <w:ind w:left="485" w:hanging="484" w:hangingChars="202"/>
              <w:rPr>
                <w:rFonts w:ascii="仿宋_GB2312" w:hAnsi="仿宋" w:eastAsia="仿宋_GB2312" w:cs="宋体"/>
                <w:kern w:val="0"/>
                <w:sz w:val="28"/>
                <w:szCs w:val="28"/>
                <w:lang w:val="zh-CN"/>
              </w:rPr>
            </w:pPr>
            <w:r>
              <w:rPr>
                <w:rFonts w:hint="eastAsia" w:ascii="仿宋_GB2312" w:hAnsi="仿宋" w:eastAsia="仿宋_GB2312" w:cs="宋体"/>
                <w:kern w:val="0"/>
                <w:sz w:val="24"/>
              </w:rPr>
              <w:t>4.8</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对县级及以下医疗卫生技术人员执业特点开展针对性继续医学教育培训，为乡村振兴战略提供人才支持</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rPr>
            </w:pPr>
            <w:r>
              <w:rPr>
                <w:rFonts w:hint="eastAsia" w:ascii="仿宋_GB2312" w:hAnsi="仿宋" w:eastAsia="仿宋_GB2312" w:cs="宋体"/>
                <w:kern w:val="0"/>
                <w:sz w:val="24"/>
              </w:rPr>
              <w:t>已经开展，得3分；</w:t>
            </w:r>
          </w:p>
          <w:p>
            <w:pPr>
              <w:widowControl/>
              <w:adjustRightInd w:val="0"/>
              <w:snapToGrid w:val="0"/>
              <w:spacing w:line="276" w:lineRule="auto"/>
              <w:ind w:left="-4" w:hanging="4"/>
              <w:jc w:val="left"/>
              <w:rPr>
                <w:rFonts w:ascii="仿宋_GB2312" w:hAnsi="仿宋" w:eastAsia="仿宋_GB2312" w:cs="宋体"/>
                <w:kern w:val="0"/>
                <w:sz w:val="24"/>
              </w:rPr>
            </w:pPr>
            <w:r>
              <w:rPr>
                <w:rFonts w:hint="eastAsia" w:ascii="仿宋_GB2312" w:hAnsi="仿宋" w:eastAsia="仿宋_GB2312" w:cs="宋体"/>
                <w:kern w:val="0"/>
                <w:sz w:val="24"/>
              </w:rPr>
              <w:t>部分开展，得2分；</w:t>
            </w:r>
          </w:p>
          <w:p>
            <w:pPr>
              <w:widowControl/>
              <w:adjustRightInd w:val="0"/>
              <w:snapToGrid w:val="0"/>
              <w:spacing w:line="276" w:lineRule="auto"/>
              <w:ind w:left="-4" w:hanging="4"/>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没有开展，不得分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lang w:val="zh-CN"/>
              </w:rPr>
            </w:pPr>
            <w:r>
              <w:rPr>
                <w:rFonts w:hint="eastAsia" w:ascii="仿宋_GB2312" w:hAnsi="仿宋" w:eastAsia="仿宋_GB2312" w:cs="宋体"/>
                <w:kern w:val="0"/>
                <w:sz w:val="24"/>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4.9</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继续医学教育学分（面授、远程）年终审验</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对全体卫生技术人员继教学分进行年终审验，得3分；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抽查审验，得1分。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ascii="仿宋_GB2312" w:hAnsi="仿宋" w:eastAsia="仿宋_GB2312" w:cs="宋体"/>
                <w:kern w:val="0"/>
                <w:sz w:val="24"/>
                <w:lang w:val="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4</w:t>
            </w:r>
            <w:r>
              <w:rPr>
                <w:rFonts w:hint="eastAsia" w:ascii="仿宋_GB2312" w:hAnsi="仿宋" w:eastAsia="仿宋_GB2312" w:cs="宋体"/>
                <w:kern w:val="0"/>
                <w:sz w:val="24"/>
                <w:lang w:val="zh-CN"/>
              </w:rPr>
              <w:t>.1</w:t>
            </w:r>
            <w:r>
              <w:rPr>
                <w:rFonts w:hint="eastAsia" w:ascii="仿宋_GB2312" w:hAnsi="仿宋" w:eastAsia="仿宋_GB2312" w:cs="宋体"/>
                <w:kern w:val="0"/>
                <w:sz w:val="24"/>
              </w:rPr>
              <w:t>0</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授予学分</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按规定授予学分，得3分；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有举报、滥授学分，不得分。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lang w:val="zh-CN"/>
              </w:rPr>
            </w:pPr>
            <w:r>
              <w:rPr>
                <w:rFonts w:ascii="仿宋_GB2312" w:hAnsi="仿宋" w:eastAsia="仿宋_GB2312" w:cs="宋体"/>
                <w:kern w:val="0"/>
                <w:sz w:val="24"/>
                <w:lang w:val="zh-CN"/>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rPr>
              <w:t>4</w:t>
            </w:r>
            <w:r>
              <w:rPr>
                <w:rFonts w:hint="eastAsia" w:ascii="仿宋_GB2312" w:hAnsi="仿宋" w:eastAsia="仿宋_GB2312" w:cs="宋体"/>
                <w:kern w:val="0"/>
                <w:sz w:val="24"/>
                <w:lang w:val="zh-CN"/>
              </w:rPr>
              <w:t>.1</w:t>
            </w:r>
            <w:r>
              <w:rPr>
                <w:rFonts w:hint="eastAsia" w:ascii="仿宋_GB2312" w:hAnsi="仿宋" w:eastAsia="仿宋_GB2312" w:cs="宋体"/>
                <w:kern w:val="0"/>
                <w:sz w:val="24"/>
              </w:rPr>
              <w:t>1</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坚持继续医学教育公益性，建立政府、社会、单位、个人出资的多元化投入保障机制</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有财政经费或学员收费、自筹、单位拨付、科室经费等保障，</w:t>
            </w:r>
            <w:r>
              <w:rPr>
                <w:rFonts w:hint="eastAsia" w:ascii="仿宋_GB2312" w:hAnsi="仿宋" w:eastAsia="仿宋_GB2312" w:cs="宋体"/>
                <w:kern w:val="0"/>
                <w:sz w:val="24"/>
              </w:rPr>
              <w:t>合规使用经费，</w:t>
            </w:r>
            <w:r>
              <w:rPr>
                <w:rFonts w:hint="eastAsia" w:ascii="仿宋_GB2312" w:hAnsi="仿宋" w:eastAsia="仿宋_GB2312" w:cs="宋体"/>
                <w:kern w:val="0"/>
                <w:sz w:val="24"/>
                <w:lang w:val="zh-CN"/>
              </w:rPr>
              <w:t>得3分；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没有经费保障，不得分。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restart"/>
            <w:vAlign w:val="center"/>
          </w:tcPr>
          <w:p>
            <w:pPr>
              <w:widowControl/>
              <w:numPr>
                <w:ilvl w:val="0"/>
                <w:numId w:val="1"/>
              </w:numPr>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监督管理措施</w:t>
            </w:r>
          </w:p>
          <w:p>
            <w:pPr>
              <w:widowControl/>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lang w:val="zh-CN"/>
              </w:rPr>
              <w:t>（</w:t>
            </w:r>
            <w:r>
              <w:rPr>
                <w:rFonts w:hint="eastAsia" w:ascii="仿宋_GB2312" w:hAnsi="仿宋" w:eastAsia="仿宋_GB2312" w:cs="宋体"/>
                <w:color w:val="000000"/>
                <w:kern w:val="0"/>
                <w:sz w:val="24"/>
              </w:rPr>
              <w:t>10</w:t>
            </w:r>
            <w:r>
              <w:rPr>
                <w:rFonts w:hint="eastAsia" w:ascii="仿宋_GB2312" w:hAnsi="仿宋" w:eastAsia="仿宋_GB2312" w:cs="宋体"/>
                <w:color w:val="000000"/>
                <w:kern w:val="0"/>
                <w:sz w:val="24"/>
                <w:lang w:val="zh-CN"/>
              </w:rPr>
              <w:t>分）</w:t>
            </w:r>
          </w:p>
        </w:tc>
        <w:tc>
          <w:tcPr>
            <w:tcW w:w="4808" w:type="dxa"/>
          </w:tcPr>
          <w:p>
            <w:pPr>
              <w:widowControl/>
              <w:adjustRightInd w:val="0"/>
              <w:snapToGrid w:val="0"/>
              <w:spacing w:line="276" w:lineRule="auto"/>
              <w:ind w:left="485" w:hanging="484" w:hangingChars="202"/>
              <w:rPr>
                <w:rFonts w:ascii="仿宋_GB2312" w:hAnsi="仿宋" w:eastAsia="仿宋_GB2312" w:cs="宋体"/>
                <w:kern w:val="0"/>
                <w:sz w:val="24"/>
                <w:lang w:val="zh-CN"/>
              </w:rPr>
            </w:pPr>
            <w:r>
              <w:rPr>
                <w:rFonts w:hint="eastAsia" w:ascii="仿宋_GB2312" w:hAnsi="仿宋" w:eastAsia="仿宋_GB2312" w:cs="宋体"/>
                <w:kern w:val="0"/>
                <w:sz w:val="24"/>
              </w:rPr>
              <w:t>5.1</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rPr>
              <w:t>落实“谁申报、谁主办、谁负责”主体责任</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对辖区单位有要求、有措施，得</w:t>
            </w:r>
            <w:r>
              <w:rPr>
                <w:rFonts w:hint="eastAsia" w:ascii="仿宋_GB2312" w:hAnsi="仿宋" w:eastAsia="仿宋_GB2312" w:cs="宋体"/>
                <w:kern w:val="0"/>
                <w:sz w:val="24"/>
              </w:rPr>
              <w:t>5</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没要求没措施，不得分。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lang w:val="zh-CN"/>
              </w:rPr>
            </w:pPr>
            <w:r>
              <w:rPr>
                <w:rFonts w:hint="eastAsia" w:ascii="仿宋_GB2312" w:hAnsi="仿宋" w:eastAsia="仿宋_GB2312" w:cs="宋体"/>
                <w:kern w:val="0"/>
                <w:sz w:val="24"/>
              </w:rPr>
              <w:t>5</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537" w:type="dxa"/>
            <w:vMerge w:val="continue"/>
            <w:vAlign w:val="center"/>
          </w:tcPr>
          <w:p>
            <w:pPr>
              <w:widowControl/>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5.2</w:t>
            </w:r>
            <w:r>
              <w:rPr>
                <w:rFonts w:hint="eastAsia" w:ascii="仿宋_GB2312" w:hAnsi="仿宋" w:eastAsia="仿宋_GB2312" w:cs="宋体"/>
                <w:kern w:val="0"/>
                <w:sz w:val="24"/>
                <w:lang w:val="en-US" w:eastAsia="zh-CN"/>
              </w:rPr>
              <w:t xml:space="preserve"> 各</w:t>
            </w:r>
            <w:r>
              <w:rPr>
                <w:rFonts w:hint="eastAsia" w:ascii="仿宋_GB2312" w:hAnsi="仿宋" w:eastAsia="仿宋_GB2312" w:cs="宋体"/>
                <w:kern w:val="0"/>
                <w:sz w:val="24"/>
              </w:rPr>
              <w:t>级继续医学教育项目实施过程中的监管</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rPr>
            </w:pPr>
            <w:r>
              <w:rPr>
                <w:rFonts w:hint="eastAsia" w:ascii="仿宋_GB2312" w:hAnsi="仿宋" w:eastAsia="仿宋_GB2312" w:cs="宋体"/>
                <w:kern w:val="0"/>
                <w:sz w:val="24"/>
              </w:rPr>
              <w:t>全程（利用多项手段）监管，得5分；</w:t>
            </w:r>
          </w:p>
          <w:p>
            <w:pPr>
              <w:widowControl/>
              <w:adjustRightInd w:val="0"/>
              <w:snapToGrid w:val="0"/>
              <w:spacing w:line="276" w:lineRule="auto"/>
              <w:ind w:left="-4" w:hanging="4"/>
              <w:jc w:val="left"/>
              <w:rPr>
                <w:rFonts w:hint="eastAsia" w:ascii="仿宋_GB2312" w:hAnsi="仿宋" w:eastAsia="仿宋_GB2312" w:cs="宋体"/>
                <w:kern w:val="0"/>
                <w:sz w:val="24"/>
                <w:lang w:val="zh-CN" w:eastAsia="zh-CN"/>
              </w:rPr>
            </w:pPr>
            <w:r>
              <w:rPr>
                <w:rFonts w:hint="eastAsia" w:ascii="仿宋_GB2312" w:hAnsi="仿宋" w:eastAsia="仿宋_GB2312" w:cs="宋体"/>
                <w:kern w:val="0"/>
                <w:sz w:val="24"/>
              </w:rPr>
              <w:t>不监管，不得分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lang w:val="zh-CN"/>
              </w:rPr>
            </w:pPr>
            <w:r>
              <w:rPr>
                <w:rFonts w:hint="eastAsia" w:ascii="仿宋_GB2312" w:hAnsi="仿宋" w:eastAsia="仿宋_GB2312" w:cs="宋体"/>
                <w:kern w:val="0"/>
                <w:sz w:val="24"/>
              </w:rPr>
              <w:t>5</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7" w:type="dxa"/>
            <w:vMerge w:val="restart"/>
            <w:vAlign w:val="center"/>
          </w:tcPr>
          <w:p>
            <w:pPr>
              <w:adjustRightInd w:val="0"/>
              <w:snapToGrid w:val="0"/>
              <w:spacing w:line="276" w:lineRule="auto"/>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6.工作实施效果</w:t>
            </w:r>
          </w:p>
          <w:p>
            <w:pPr>
              <w:adjustRightInd w:val="0"/>
              <w:snapToGrid w:val="0"/>
              <w:spacing w:line="276" w:lineRule="auto"/>
              <w:ind w:left="240"/>
              <w:jc w:val="center"/>
              <w:rPr>
                <w:rFonts w:ascii="仿宋_GB2312" w:hAnsi="仿宋" w:eastAsia="仿宋_GB2312" w:cs="宋体"/>
                <w:color w:val="000000"/>
                <w:kern w:val="0"/>
                <w:sz w:val="24"/>
              </w:rPr>
            </w:pPr>
            <w:r>
              <w:rPr>
                <w:rFonts w:hint="eastAsia" w:ascii="仿宋_GB2312" w:hAnsi="仿宋" w:eastAsia="仿宋_GB2312" w:cs="宋体"/>
                <w:color w:val="000000"/>
                <w:kern w:val="0"/>
                <w:sz w:val="24"/>
              </w:rPr>
              <w:t>（19分）</w:t>
            </w: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6</w:t>
            </w:r>
            <w:r>
              <w:rPr>
                <w:rFonts w:hint="eastAsia" w:ascii="仿宋_GB2312" w:hAnsi="仿宋" w:eastAsia="仿宋_GB2312" w:cs="宋体"/>
                <w:kern w:val="0"/>
                <w:sz w:val="24"/>
                <w:lang w:val="zh-CN"/>
              </w:rPr>
              <w:t xml:space="preserve">.1 </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2019、</w:t>
            </w:r>
            <w:r>
              <w:rPr>
                <w:rFonts w:hint="eastAsia" w:ascii="仿宋_GB2312" w:hAnsi="仿宋" w:eastAsia="仿宋_GB2312" w:cs="宋体"/>
                <w:kern w:val="0"/>
                <w:sz w:val="24"/>
              </w:rPr>
              <w:t>2020</w:t>
            </w:r>
            <w:r>
              <w:rPr>
                <w:rFonts w:hint="eastAsia" w:ascii="仿宋_GB2312" w:hAnsi="仿宋" w:eastAsia="仿宋_GB2312" w:cs="宋体"/>
                <w:kern w:val="0"/>
                <w:sz w:val="24"/>
                <w:lang w:eastAsia="zh-CN"/>
              </w:rPr>
              <w:t>、</w:t>
            </w:r>
            <w:r>
              <w:rPr>
                <w:rFonts w:hint="eastAsia" w:ascii="仿宋_GB2312" w:hAnsi="仿宋" w:eastAsia="仿宋_GB2312" w:cs="宋体"/>
                <w:kern w:val="0"/>
                <w:sz w:val="24"/>
                <w:lang w:val="en-US" w:eastAsia="zh-CN"/>
              </w:rPr>
              <w:t>2021</w:t>
            </w:r>
            <w:r>
              <w:rPr>
                <w:rFonts w:hint="eastAsia" w:ascii="仿宋_GB2312" w:hAnsi="仿宋" w:eastAsia="仿宋_GB2312" w:cs="宋体"/>
                <w:kern w:val="0"/>
                <w:sz w:val="24"/>
                <w:lang w:val="zh-CN"/>
              </w:rPr>
              <w:t>年</w:t>
            </w:r>
            <w:r>
              <w:rPr>
                <w:rFonts w:hint="eastAsia" w:ascii="仿宋_GB2312" w:hAnsi="仿宋" w:eastAsia="仿宋_GB2312" w:cs="宋体"/>
                <w:kern w:val="0"/>
                <w:sz w:val="24"/>
                <w:lang w:val="en-US" w:eastAsia="zh-CN"/>
              </w:rPr>
              <w:t>各级</w:t>
            </w:r>
            <w:r>
              <w:rPr>
                <w:rFonts w:hint="eastAsia" w:ascii="仿宋_GB2312" w:hAnsi="仿宋" w:eastAsia="仿宋_GB2312" w:cs="宋体"/>
                <w:kern w:val="0"/>
                <w:sz w:val="24"/>
                <w:lang w:val="zh-CN"/>
              </w:rPr>
              <w:t>继续医学教育项目执行情况</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执行率超过90%，得</w:t>
            </w:r>
            <w:r>
              <w:rPr>
                <w:rFonts w:hint="eastAsia" w:ascii="仿宋_GB2312" w:hAnsi="仿宋" w:eastAsia="仿宋_GB2312" w:cs="宋体"/>
                <w:kern w:val="0"/>
                <w:sz w:val="24"/>
              </w:rPr>
              <w:t>4</w:t>
            </w:r>
            <w:r>
              <w:rPr>
                <w:rFonts w:hint="eastAsia" w:ascii="仿宋_GB2312" w:hAnsi="仿宋" w:eastAsia="仿宋_GB2312" w:cs="宋体"/>
                <w:kern w:val="0"/>
                <w:sz w:val="24"/>
                <w:lang w:val="zh-CN"/>
              </w:rPr>
              <w:t>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执行率超过80%，没有达到90%，得3分；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低于79%，不得分。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4</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7" w:type="dxa"/>
            <w:vMerge w:val="continue"/>
            <w:vAlign w:val="center"/>
          </w:tcPr>
          <w:p>
            <w:pPr>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jc w:val="left"/>
              <w:rPr>
                <w:rFonts w:ascii="仿宋_GB2312" w:hAnsi="仿宋" w:eastAsia="仿宋_GB2312" w:cs="宋体"/>
                <w:kern w:val="0"/>
                <w:sz w:val="24"/>
                <w:lang w:val="zh-CN"/>
              </w:rPr>
            </w:pPr>
            <w:r>
              <w:rPr>
                <w:rFonts w:hint="eastAsia" w:ascii="仿宋_GB2312" w:hAnsi="仿宋" w:eastAsia="仿宋_GB2312" w:cs="宋体"/>
                <w:kern w:val="0"/>
                <w:sz w:val="24"/>
              </w:rPr>
              <w:t>6</w:t>
            </w:r>
            <w:r>
              <w:rPr>
                <w:rFonts w:hint="eastAsia" w:ascii="仿宋_GB2312" w:hAnsi="仿宋" w:eastAsia="仿宋_GB2312" w:cs="宋体"/>
                <w:kern w:val="0"/>
                <w:sz w:val="24"/>
                <w:lang w:val="zh-CN"/>
              </w:rPr>
              <w:t>.2</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继续医学教育达标率和覆盖率</w:t>
            </w:r>
          </w:p>
          <w:p>
            <w:pPr>
              <w:widowControl/>
              <w:adjustRightInd w:val="0"/>
              <w:snapToGrid w:val="0"/>
              <w:spacing w:line="276" w:lineRule="auto"/>
              <w:ind w:left="409" w:leftChars="-52" w:hanging="518" w:hangingChars="216"/>
              <w:jc w:val="left"/>
              <w:rPr>
                <w:rFonts w:ascii="仿宋_GB2312" w:hAnsi="仿宋" w:eastAsia="仿宋_GB2312" w:cs="宋体"/>
                <w:kern w:val="0"/>
                <w:sz w:val="24"/>
                <w:lang w:val="zh-CN"/>
              </w:rPr>
            </w:pPr>
          </w:p>
        </w:tc>
        <w:tc>
          <w:tcPr>
            <w:tcW w:w="5670" w:type="dxa"/>
            <w:vAlign w:val="center"/>
          </w:tcPr>
          <w:p>
            <w:pPr>
              <w:widowControl/>
              <w:autoSpaceDE w:val="0"/>
              <w:autoSpaceDN w:val="0"/>
              <w:adjustRightInd w:val="0"/>
              <w:snapToGrid w:val="0"/>
              <w:spacing w:line="276" w:lineRule="auto"/>
              <w:rPr>
                <w:rFonts w:ascii="仿宋_GB2312" w:hAnsi="仿宋" w:eastAsia="仿宋_GB2312" w:cs="宋体"/>
                <w:kern w:val="0"/>
                <w:sz w:val="24"/>
                <w:lang w:val="zh-CN"/>
              </w:rPr>
            </w:pPr>
            <w:r>
              <w:rPr>
                <w:rFonts w:hint="eastAsia" w:ascii="仿宋_GB2312" w:hAnsi="仿宋" w:eastAsia="仿宋_GB2312" w:cs="宋体"/>
                <w:kern w:val="0"/>
                <w:sz w:val="24"/>
                <w:lang w:val="zh-CN"/>
              </w:rPr>
              <w:t>卫生技术人员总体达标率超90%，得2分；</w:t>
            </w:r>
          </w:p>
          <w:p>
            <w:pPr>
              <w:widowControl/>
              <w:autoSpaceDE w:val="0"/>
              <w:autoSpaceDN w:val="0"/>
              <w:adjustRightInd w:val="0"/>
              <w:snapToGrid w:val="0"/>
              <w:spacing w:line="276" w:lineRule="auto"/>
              <w:rPr>
                <w:rFonts w:ascii="仿宋_GB2312" w:hAnsi="仿宋" w:eastAsia="仿宋_GB2312" w:cs="宋体"/>
                <w:kern w:val="0"/>
                <w:sz w:val="24"/>
                <w:lang w:val="zh-CN"/>
              </w:rPr>
            </w:pPr>
            <w:r>
              <w:rPr>
                <w:rFonts w:hint="eastAsia" w:ascii="仿宋_GB2312" w:hAnsi="仿宋" w:eastAsia="仿宋_GB2312" w:cs="宋体"/>
                <w:kern w:val="0"/>
                <w:sz w:val="24"/>
                <w:lang w:val="zh-CN"/>
              </w:rPr>
              <w:t>没达到90%，不得分。</w:t>
            </w:r>
          </w:p>
          <w:p>
            <w:pPr>
              <w:widowControl/>
              <w:autoSpaceDE w:val="0"/>
              <w:autoSpaceDN w:val="0"/>
              <w:adjustRightInd w:val="0"/>
              <w:snapToGrid w:val="0"/>
              <w:spacing w:line="276" w:lineRule="auto"/>
              <w:rPr>
                <w:rFonts w:ascii="仿宋_GB2312" w:hAnsi="仿宋" w:eastAsia="仿宋_GB2312" w:cs="宋体"/>
                <w:kern w:val="0"/>
                <w:sz w:val="24"/>
                <w:lang w:val="zh-CN"/>
              </w:rPr>
            </w:pPr>
            <w:r>
              <w:rPr>
                <w:rFonts w:hint="eastAsia" w:ascii="仿宋_GB2312" w:hAnsi="仿宋" w:eastAsia="仿宋_GB2312" w:cs="宋体"/>
                <w:kern w:val="0"/>
                <w:sz w:val="24"/>
                <w:lang w:val="zh-CN"/>
              </w:rPr>
              <w:t>县级及以下医疗卫生机构覆盖率超90%，得2分；</w:t>
            </w:r>
          </w:p>
          <w:p>
            <w:pPr>
              <w:widowControl/>
              <w:autoSpaceDE w:val="0"/>
              <w:autoSpaceDN w:val="0"/>
              <w:adjustRightInd w:val="0"/>
              <w:snapToGrid w:val="0"/>
              <w:spacing w:line="276" w:lineRule="auto"/>
              <w:rPr>
                <w:rFonts w:ascii="仿宋_GB2312" w:hAnsi="仿宋" w:eastAsia="仿宋_GB2312" w:cs="宋体"/>
                <w:kern w:val="0"/>
                <w:sz w:val="24"/>
                <w:lang w:val="zh-CN"/>
              </w:rPr>
            </w:pPr>
            <w:r>
              <w:rPr>
                <w:rFonts w:hint="eastAsia" w:ascii="仿宋_GB2312" w:hAnsi="仿宋" w:eastAsia="仿宋_GB2312" w:cs="宋体"/>
                <w:kern w:val="0"/>
                <w:sz w:val="24"/>
                <w:lang w:val="zh-CN"/>
              </w:rPr>
              <w:t>没达到90%，不得分。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4</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537" w:type="dxa"/>
            <w:vMerge w:val="continue"/>
            <w:vAlign w:val="center"/>
          </w:tcPr>
          <w:p>
            <w:pPr>
              <w:adjustRightInd w:val="0"/>
              <w:snapToGrid w:val="0"/>
              <w:spacing w:line="276" w:lineRule="auto"/>
              <w:jc w:val="center"/>
              <w:rPr>
                <w:rFonts w:ascii="仿宋_GB2312" w:hAnsi="仿宋" w:eastAsia="仿宋_GB2312" w:cs="宋体"/>
                <w:color w:val="000000"/>
                <w:kern w:val="0"/>
                <w:sz w:val="24"/>
              </w:rPr>
            </w:pPr>
          </w:p>
        </w:tc>
        <w:tc>
          <w:tcPr>
            <w:tcW w:w="4808" w:type="dxa"/>
          </w:tcPr>
          <w:p>
            <w:pPr>
              <w:keepNext w:val="0"/>
              <w:keepLines w:val="0"/>
              <w:pageBreakBefore w:val="0"/>
              <w:widowControl/>
              <w:kinsoku/>
              <w:wordWrap/>
              <w:overflowPunct/>
              <w:topLinePunct w:val="0"/>
              <w:autoSpaceDE/>
              <w:autoSpaceDN/>
              <w:bidi w:val="0"/>
              <w:adjustRightInd w:val="0"/>
              <w:snapToGrid w:val="0"/>
              <w:spacing w:line="240" w:lineRule="auto"/>
              <w:ind w:left="0" w:hanging="484" w:hangingChars="202"/>
              <w:textAlignment w:val="auto"/>
              <w:rPr>
                <w:rFonts w:ascii="仿宋_GB2312" w:hAnsi="仿宋" w:eastAsia="仿宋_GB2312" w:cs="宋体"/>
                <w:kern w:val="0"/>
                <w:sz w:val="24"/>
              </w:rPr>
            </w:pPr>
            <w:r>
              <w:rPr>
                <w:rFonts w:hint="eastAsia" w:ascii="仿宋_GB2312" w:hAnsi="仿宋" w:eastAsia="仿宋_GB2312" w:cs="宋体"/>
                <w:kern w:val="0"/>
                <w:sz w:val="24"/>
              </w:rPr>
              <w:t>6.3</w:t>
            </w:r>
            <w:r>
              <w:rPr>
                <w:rFonts w:hint="eastAsia" w:ascii="仿宋_GB2312" w:hAnsi="仿宋" w:eastAsia="仿宋_GB2312" w:cs="宋体"/>
                <w:kern w:val="0"/>
                <w:sz w:val="24"/>
                <w:lang w:val="en-US" w:eastAsia="zh-CN"/>
              </w:rPr>
              <w:t xml:space="preserve"> 各级</w:t>
            </w:r>
            <w:r>
              <w:rPr>
                <w:rFonts w:hint="eastAsia" w:ascii="仿宋_GB2312" w:hAnsi="仿宋" w:eastAsia="仿宋_GB2312" w:cs="宋体"/>
                <w:kern w:val="0"/>
                <w:sz w:val="24"/>
              </w:rPr>
              <w:t>继续医学教育项目质量效果</w:t>
            </w:r>
          </w:p>
        </w:tc>
        <w:tc>
          <w:tcPr>
            <w:tcW w:w="5670" w:type="dxa"/>
            <w:vAlign w:val="center"/>
          </w:tcPr>
          <w:p>
            <w:pPr>
              <w:widowControl/>
              <w:adjustRightInd w:val="0"/>
              <w:snapToGrid w:val="0"/>
              <w:spacing w:line="276" w:lineRule="auto"/>
              <w:rPr>
                <w:rFonts w:ascii="仿宋_GB2312" w:hAnsi="仿宋" w:eastAsia="仿宋_GB2312" w:cs="宋体"/>
                <w:kern w:val="0"/>
                <w:sz w:val="24"/>
                <w:lang w:val="zh-CN"/>
              </w:rPr>
            </w:pPr>
            <w:r>
              <w:rPr>
                <w:rFonts w:hint="eastAsia" w:ascii="仿宋_GB2312" w:hAnsi="仿宋" w:eastAsia="仿宋_GB2312" w:cs="宋体"/>
                <w:kern w:val="0"/>
                <w:sz w:val="24"/>
                <w:lang w:val="zh-CN"/>
              </w:rPr>
              <w:t>继续医学教育（面授、远程）项目通过率高，得2分；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rPr>
              <w:t>国家级项目来自外省</w:t>
            </w:r>
            <w:r>
              <w:rPr>
                <w:rFonts w:hint="eastAsia" w:ascii="仿宋_GB2312" w:hAnsi="仿宋" w:eastAsia="仿宋_GB2312" w:cs="宋体"/>
                <w:kern w:val="0"/>
                <w:sz w:val="24"/>
                <w:lang w:val="zh-CN"/>
              </w:rPr>
              <w:t>学员</w:t>
            </w:r>
            <w:r>
              <w:rPr>
                <w:rFonts w:hint="eastAsia" w:ascii="仿宋_GB2312" w:hAnsi="仿宋" w:eastAsia="仿宋_GB2312" w:cs="宋体"/>
                <w:kern w:val="0"/>
                <w:sz w:val="24"/>
              </w:rPr>
              <w:t>人数不少于10%的</w:t>
            </w:r>
            <w:r>
              <w:rPr>
                <w:rFonts w:hint="eastAsia" w:ascii="仿宋_GB2312" w:hAnsi="仿宋" w:eastAsia="仿宋_GB2312" w:cs="宋体"/>
                <w:kern w:val="0"/>
                <w:sz w:val="24"/>
                <w:lang w:val="zh-CN"/>
              </w:rPr>
              <w:t>，得</w:t>
            </w:r>
            <w:r>
              <w:rPr>
                <w:rFonts w:hint="eastAsia" w:ascii="仿宋_GB2312" w:hAnsi="仿宋" w:eastAsia="仿宋_GB2312" w:cs="宋体"/>
                <w:kern w:val="0"/>
                <w:sz w:val="24"/>
              </w:rPr>
              <w:t>2</w:t>
            </w:r>
            <w:r>
              <w:rPr>
                <w:rFonts w:hint="eastAsia" w:ascii="仿宋_GB2312" w:hAnsi="仿宋" w:eastAsia="仿宋_GB2312" w:cs="宋体"/>
                <w:kern w:val="0"/>
                <w:sz w:val="24"/>
                <w:lang w:val="zh-CN"/>
              </w:rPr>
              <w:t>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4</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7" w:type="dxa"/>
            <w:vMerge w:val="continue"/>
            <w:vAlign w:val="center"/>
          </w:tcPr>
          <w:p>
            <w:pPr>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jc w:val="left"/>
              <w:rPr>
                <w:rFonts w:ascii="仿宋_GB2312" w:hAnsi="仿宋" w:eastAsia="仿宋_GB2312" w:cs="宋体"/>
                <w:kern w:val="0"/>
                <w:sz w:val="24"/>
                <w:lang w:val="zh-CN"/>
              </w:rPr>
            </w:pPr>
            <w:r>
              <w:rPr>
                <w:rFonts w:hint="eastAsia" w:ascii="仿宋_GB2312" w:hAnsi="仿宋" w:eastAsia="仿宋_GB2312" w:cs="宋体"/>
                <w:kern w:val="0"/>
                <w:sz w:val="24"/>
              </w:rPr>
              <w:t>6.4</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进行继续医学教育学员反馈评估</w:t>
            </w:r>
          </w:p>
          <w:p>
            <w:pPr>
              <w:widowControl/>
              <w:adjustRightInd w:val="0"/>
              <w:snapToGrid w:val="0"/>
              <w:spacing w:line="276" w:lineRule="auto"/>
              <w:jc w:val="left"/>
              <w:rPr>
                <w:rFonts w:ascii="仿宋_GB2312" w:hAnsi="仿宋" w:eastAsia="仿宋_GB2312" w:cs="宋体"/>
                <w:kern w:val="0"/>
                <w:sz w:val="24"/>
                <w:lang w:val="zh-CN"/>
              </w:rPr>
            </w:pP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运用多种手段，听取学员反馈意见，得3分；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没有开展，不得分；</w:t>
            </w:r>
          </w:p>
          <w:p>
            <w:pPr>
              <w:widowControl/>
              <w:adjustRightInd w:val="0"/>
              <w:snapToGrid w:val="0"/>
              <w:spacing w:line="276" w:lineRule="auto"/>
              <w:ind w:left="-4" w:hanging="4"/>
              <w:jc w:val="left"/>
              <w:rPr>
                <w:rFonts w:hint="eastAsia" w:ascii="仿宋_GB2312" w:hAnsi="仿宋" w:eastAsia="仿宋_GB2312" w:cs="宋体"/>
                <w:kern w:val="0"/>
                <w:sz w:val="24"/>
                <w:lang w:eastAsia="zh-CN"/>
              </w:rPr>
            </w:pPr>
            <w:r>
              <w:rPr>
                <w:rFonts w:hint="eastAsia" w:ascii="仿宋_GB2312" w:hAnsi="仿宋" w:eastAsia="仿宋_GB2312" w:cs="宋体"/>
                <w:kern w:val="0"/>
                <w:sz w:val="24"/>
              </w:rPr>
              <w:t>满意度低于80%的不得分</w:t>
            </w:r>
            <w:r>
              <w:rPr>
                <w:rFonts w:hint="eastAsia" w:ascii="仿宋_GB2312" w:hAnsi="仿宋" w:eastAsia="仿宋_GB2312" w:cs="宋体"/>
                <w:kern w:val="0"/>
                <w:sz w:val="24"/>
                <w:lang w:eastAsia="zh-CN"/>
              </w:rPr>
              <w:t>。</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7" w:type="dxa"/>
            <w:vMerge w:val="continue"/>
            <w:vAlign w:val="center"/>
          </w:tcPr>
          <w:p>
            <w:pPr>
              <w:adjustRightInd w:val="0"/>
              <w:snapToGrid w:val="0"/>
              <w:spacing w:line="276" w:lineRule="auto"/>
              <w:jc w:val="center"/>
              <w:rPr>
                <w:rFonts w:ascii="仿宋_GB2312" w:hAnsi="仿宋" w:eastAsia="仿宋_GB2312" w:cs="宋体"/>
                <w:color w:val="000000"/>
                <w:kern w:val="0"/>
                <w:sz w:val="24"/>
              </w:rPr>
            </w:pPr>
          </w:p>
        </w:tc>
        <w:tc>
          <w:tcPr>
            <w:tcW w:w="4808" w:type="dxa"/>
            <w:vAlign w:val="center"/>
          </w:tcPr>
          <w:p>
            <w:pPr>
              <w:widowControl/>
              <w:adjustRightInd w:val="0"/>
              <w:snapToGrid w:val="0"/>
              <w:spacing w:line="276" w:lineRule="auto"/>
              <w:jc w:val="left"/>
              <w:rPr>
                <w:rFonts w:ascii="仿宋_GB2312" w:hAnsi="仿宋" w:eastAsia="仿宋_GB2312" w:cs="宋体"/>
                <w:kern w:val="0"/>
                <w:sz w:val="24"/>
                <w:lang w:val="zh-CN"/>
              </w:rPr>
            </w:pPr>
            <w:r>
              <w:rPr>
                <w:rFonts w:hint="eastAsia" w:ascii="仿宋_GB2312" w:hAnsi="仿宋" w:eastAsia="仿宋_GB2312" w:cs="宋体"/>
                <w:kern w:val="0"/>
                <w:sz w:val="24"/>
              </w:rPr>
              <w:t>6.5</w:t>
            </w:r>
            <w:r>
              <w:rPr>
                <w:rFonts w:hint="eastAsia" w:ascii="仿宋_GB2312" w:hAnsi="仿宋" w:eastAsia="仿宋_GB2312" w:cs="宋体"/>
                <w:kern w:val="0"/>
                <w:sz w:val="24"/>
                <w:lang w:val="en-US" w:eastAsia="zh-CN"/>
              </w:rPr>
              <w:t xml:space="preserve"> </w:t>
            </w:r>
            <w:r>
              <w:rPr>
                <w:rFonts w:ascii="仿宋_GB2312" w:hAnsi="仿宋" w:eastAsia="仿宋_GB2312" w:cs="宋体"/>
                <w:kern w:val="0"/>
                <w:sz w:val="24"/>
                <w:lang w:val="zh-CN"/>
              </w:rPr>
              <w:t>信息化建设</w:t>
            </w:r>
          </w:p>
        </w:tc>
        <w:tc>
          <w:tcPr>
            <w:tcW w:w="5670"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实现网上管理，得2分；</w:t>
            </w:r>
          </w:p>
          <w:p>
            <w:pPr>
              <w:widowControl/>
              <w:adjustRightInd w:val="0"/>
              <w:snapToGrid w:val="0"/>
              <w:spacing w:line="276" w:lineRule="auto"/>
              <w:ind w:left="2"/>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实现电子学分网上验证、网上审核、电子证书</w:t>
            </w:r>
            <w:r>
              <w:rPr>
                <w:rFonts w:hint="eastAsia" w:ascii="仿宋_GB2312" w:hAnsi="仿宋" w:eastAsia="仿宋_GB2312" w:cs="宋体"/>
                <w:kern w:val="0"/>
                <w:sz w:val="24"/>
              </w:rPr>
              <w:t>网</w:t>
            </w:r>
            <w:r>
              <w:rPr>
                <w:rFonts w:hint="eastAsia" w:ascii="仿宋_GB2312" w:hAnsi="仿宋" w:eastAsia="仿宋_GB2312" w:cs="宋体"/>
                <w:kern w:val="0"/>
                <w:sz w:val="24"/>
                <w:lang w:val="zh-CN"/>
              </w:rPr>
              <w:t>上打印，得2分；</w:t>
            </w:r>
          </w:p>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没有信息化建设，不得分。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4</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37" w:type="dxa"/>
            <w:vAlign w:val="center"/>
          </w:tcPr>
          <w:p>
            <w:pPr>
              <w:widowControl/>
              <w:numPr>
                <w:ilvl w:val="0"/>
                <w:numId w:val="2"/>
              </w:numPr>
              <w:adjustRightInd w:val="0"/>
              <w:snapToGrid w:val="0"/>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其他</w:t>
            </w:r>
          </w:p>
          <w:p>
            <w:pPr>
              <w:widowControl/>
              <w:adjustRightInd w:val="0"/>
              <w:snapToGrid w:val="0"/>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（3分）</w:t>
            </w:r>
          </w:p>
        </w:tc>
        <w:tc>
          <w:tcPr>
            <w:tcW w:w="4808"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_GB2312" w:hAnsi="仿宋" w:eastAsia="仿宋_GB2312" w:cs="宋体"/>
                <w:kern w:val="0"/>
                <w:sz w:val="24"/>
              </w:rPr>
            </w:pPr>
            <w:r>
              <w:rPr>
                <w:rFonts w:hint="eastAsia" w:ascii="仿宋_GB2312" w:hAnsi="仿宋" w:eastAsia="仿宋_GB2312" w:cs="宋体"/>
                <w:kern w:val="0"/>
                <w:sz w:val="24"/>
                <w:lang w:val="zh-CN"/>
              </w:rPr>
              <w:t>根据有关重大卫生工作的紧迫需求，及时组织开展对有关卫生技术人员进行专题培训</w:t>
            </w:r>
          </w:p>
        </w:tc>
        <w:tc>
          <w:tcPr>
            <w:tcW w:w="5670" w:type="dxa"/>
            <w:vAlign w:val="center"/>
          </w:tcPr>
          <w:p>
            <w:pPr>
              <w:widowControl/>
              <w:adjustRightInd w:val="0"/>
              <w:snapToGrid w:val="0"/>
              <w:spacing w:line="276" w:lineRule="auto"/>
              <w:ind w:left="485" w:hanging="484" w:hangingChars="202"/>
              <w:jc w:val="left"/>
              <w:rPr>
                <w:rFonts w:hint="eastAsia" w:ascii="仿宋_GB2312" w:hAnsi="仿宋" w:eastAsia="仿宋_GB2312" w:cs="宋体"/>
                <w:kern w:val="0"/>
                <w:sz w:val="24"/>
                <w:lang w:eastAsia="zh-CN"/>
              </w:rPr>
            </w:pPr>
            <w:r>
              <w:rPr>
                <w:rFonts w:hint="eastAsia" w:ascii="仿宋_GB2312" w:hAnsi="仿宋" w:eastAsia="仿宋_GB2312" w:cs="宋体"/>
                <w:kern w:val="0"/>
                <w:sz w:val="24"/>
              </w:rPr>
              <w:t>及时开展针对性培训的且效果好，得3分</w:t>
            </w:r>
            <w:r>
              <w:rPr>
                <w:rFonts w:hint="eastAsia" w:ascii="仿宋_GB2312" w:hAnsi="仿宋" w:eastAsia="仿宋_GB2312" w:cs="宋体"/>
                <w:kern w:val="0"/>
                <w:sz w:val="24"/>
                <w:lang w:eastAsia="zh-CN"/>
              </w:rPr>
              <w:t>；</w:t>
            </w:r>
          </w:p>
          <w:p>
            <w:pPr>
              <w:widowControl/>
              <w:adjustRightInd w:val="0"/>
              <w:snapToGrid w:val="0"/>
              <w:spacing w:line="276" w:lineRule="auto"/>
              <w:ind w:left="485" w:hanging="484" w:hangingChars="202"/>
              <w:jc w:val="left"/>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未及时开展，得1分；</w:t>
            </w:r>
          </w:p>
          <w:p>
            <w:pPr>
              <w:widowControl/>
              <w:adjustRightInd w:val="0"/>
              <w:snapToGrid w:val="0"/>
              <w:spacing w:line="276" w:lineRule="auto"/>
              <w:ind w:left="485" w:hanging="484" w:hangingChars="202"/>
              <w:jc w:val="left"/>
              <w:rPr>
                <w:rFonts w:hint="default" w:ascii="仿宋_GB2312" w:hAnsi="仿宋" w:eastAsia="仿宋_GB2312" w:cs="宋体"/>
                <w:kern w:val="0"/>
                <w:sz w:val="24"/>
                <w:lang w:val="en-US" w:eastAsia="zh-CN"/>
              </w:rPr>
            </w:pPr>
            <w:r>
              <w:rPr>
                <w:rFonts w:hint="eastAsia" w:ascii="仿宋_GB2312" w:hAnsi="仿宋" w:eastAsia="仿宋_GB2312" w:cs="宋体"/>
                <w:kern w:val="0"/>
                <w:sz w:val="24"/>
                <w:lang w:val="en-US" w:eastAsia="zh-CN"/>
              </w:rPr>
              <w:t>未开展，不得分。</w:t>
            </w:r>
            <w:bookmarkStart w:id="0" w:name="_GoBack"/>
            <w:bookmarkEnd w:id="0"/>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3</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537" w:type="dxa"/>
            <w:vMerge w:val="restart"/>
            <w:vAlign w:val="center"/>
          </w:tcPr>
          <w:p>
            <w:pPr>
              <w:widowControl/>
              <w:numPr>
                <w:ilvl w:val="0"/>
                <w:numId w:val="2"/>
              </w:numPr>
              <w:adjustRightInd w:val="0"/>
              <w:snapToGrid w:val="0"/>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加分项</w:t>
            </w:r>
          </w:p>
          <w:p>
            <w:pPr>
              <w:widowControl/>
              <w:adjustRightInd w:val="0"/>
              <w:snapToGrid w:val="0"/>
              <w:spacing w:line="276" w:lineRule="auto"/>
              <w:jc w:val="center"/>
              <w:rPr>
                <w:rFonts w:ascii="仿宋_GB2312" w:hAnsi="仿宋" w:eastAsia="仿宋_GB2312" w:cs="宋体"/>
                <w:kern w:val="0"/>
                <w:sz w:val="24"/>
              </w:rPr>
            </w:pPr>
            <w:r>
              <w:rPr>
                <w:rFonts w:hint="eastAsia" w:ascii="仿宋_GB2312" w:hAnsi="仿宋" w:eastAsia="仿宋_GB2312" w:cs="宋体"/>
                <w:kern w:val="0"/>
                <w:sz w:val="24"/>
              </w:rPr>
              <w:t>（10分）</w:t>
            </w:r>
          </w:p>
        </w:tc>
        <w:tc>
          <w:tcPr>
            <w:tcW w:w="4808" w:type="dxa"/>
            <w:vAlign w:val="center"/>
          </w:tcPr>
          <w:p>
            <w:pPr>
              <w:widowControl/>
              <w:adjustRightInd w:val="0"/>
              <w:snapToGrid w:val="0"/>
              <w:spacing w:line="276" w:lineRule="auto"/>
              <w:jc w:val="left"/>
              <w:rPr>
                <w:rFonts w:ascii="仿宋_GB2312" w:hAnsi="仿宋" w:eastAsia="仿宋_GB2312" w:cs="宋体"/>
                <w:kern w:val="0"/>
                <w:sz w:val="24"/>
              </w:rPr>
            </w:pPr>
            <w:r>
              <w:rPr>
                <w:rFonts w:hint="eastAsia" w:ascii="仿宋_GB2312" w:hAnsi="仿宋" w:eastAsia="仿宋_GB2312" w:cs="宋体"/>
                <w:kern w:val="0"/>
                <w:sz w:val="24"/>
              </w:rPr>
              <w:t>8.1 20</w:t>
            </w:r>
            <w:r>
              <w:rPr>
                <w:rFonts w:hint="eastAsia" w:ascii="仿宋_GB2312" w:hAnsi="仿宋" w:eastAsia="仿宋_GB2312" w:cs="宋体"/>
                <w:kern w:val="0"/>
                <w:sz w:val="24"/>
                <w:lang w:val="en-US" w:eastAsia="zh-CN"/>
              </w:rPr>
              <w:t>20</w:t>
            </w:r>
            <w:r>
              <w:rPr>
                <w:rFonts w:hint="eastAsia" w:ascii="仿宋_GB2312" w:hAnsi="仿宋" w:eastAsia="仿宋_GB2312" w:cs="宋体"/>
                <w:kern w:val="0"/>
                <w:sz w:val="24"/>
              </w:rPr>
              <w:t>、202</w:t>
            </w:r>
            <w:r>
              <w:rPr>
                <w:rFonts w:hint="eastAsia" w:ascii="仿宋_GB2312" w:hAnsi="仿宋" w:eastAsia="仿宋_GB2312" w:cs="宋体"/>
                <w:kern w:val="0"/>
                <w:sz w:val="24"/>
                <w:lang w:val="en-US" w:eastAsia="zh-CN"/>
              </w:rPr>
              <w:t>1、2022</w:t>
            </w:r>
            <w:r>
              <w:rPr>
                <w:rFonts w:hint="eastAsia" w:ascii="仿宋_GB2312" w:hAnsi="仿宋" w:eastAsia="仿宋_GB2312" w:cs="宋体"/>
                <w:kern w:val="0"/>
                <w:sz w:val="24"/>
              </w:rPr>
              <w:t>年鼓励或支持</w:t>
            </w:r>
            <w:r>
              <w:rPr>
                <w:rFonts w:ascii="仿宋_GB2312" w:hAnsi="仿宋" w:eastAsia="仿宋_GB2312" w:cs="宋体"/>
                <w:kern w:val="0"/>
                <w:sz w:val="24"/>
                <w:lang w:val="zh-CN"/>
              </w:rPr>
              <w:t>继续医学教育研究</w:t>
            </w:r>
          </w:p>
        </w:tc>
        <w:tc>
          <w:tcPr>
            <w:tcW w:w="5670"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继续医学教育</w:t>
            </w:r>
            <w:r>
              <w:rPr>
                <w:rFonts w:hint="eastAsia" w:ascii="仿宋_GB2312" w:hAnsi="仿宋" w:eastAsia="仿宋_GB2312" w:cs="宋体"/>
                <w:kern w:val="0"/>
                <w:sz w:val="24"/>
              </w:rPr>
              <w:t>研究</w:t>
            </w:r>
            <w:r>
              <w:rPr>
                <w:rFonts w:hint="eastAsia" w:ascii="仿宋_GB2312" w:hAnsi="仿宋" w:eastAsia="仿宋_GB2312" w:cs="宋体"/>
                <w:kern w:val="0"/>
                <w:sz w:val="24"/>
                <w:lang w:val="zh-CN"/>
              </w:rPr>
              <w:t>有立项或研究成果</w:t>
            </w:r>
            <w:r>
              <w:rPr>
                <w:rFonts w:hint="eastAsia" w:ascii="仿宋_GB2312" w:hAnsi="仿宋" w:eastAsia="仿宋_GB2312" w:cs="宋体"/>
                <w:kern w:val="0"/>
                <w:sz w:val="24"/>
              </w:rPr>
              <w:t>等</w:t>
            </w:r>
            <w:r>
              <w:rPr>
                <w:rFonts w:hint="eastAsia" w:ascii="仿宋_GB2312" w:hAnsi="仿宋" w:eastAsia="仿宋_GB2312" w:cs="宋体"/>
                <w:kern w:val="0"/>
                <w:sz w:val="24"/>
                <w:lang w:val="zh-CN"/>
              </w:rPr>
              <w:t>，得</w:t>
            </w:r>
            <w:r>
              <w:rPr>
                <w:rFonts w:hint="eastAsia" w:ascii="仿宋_GB2312" w:hAnsi="仿宋" w:eastAsia="仿宋_GB2312" w:cs="宋体"/>
                <w:kern w:val="0"/>
                <w:sz w:val="24"/>
              </w:rPr>
              <w:t>5</w:t>
            </w:r>
            <w:r>
              <w:rPr>
                <w:rFonts w:hint="eastAsia" w:ascii="仿宋_GB2312" w:hAnsi="仿宋" w:eastAsia="仿宋_GB2312" w:cs="宋体"/>
                <w:kern w:val="0"/>
                <w:sz w:val="24"/>
                <w:lang w:val="zh-CN"/>
              </w:rPr>
              <w:t>分；</w:t>
            </w:r>
          </w:p>
          <w:p>
            <w:pPr>
              <w:widowControl/>
              <w:adjustRightInd w:val="0"/>
              <w:snapToGrid w:val="0"/>
              <w:spacing w:line="276" w:lineRule="auto"/>
              <w:ind w:left="485" w:hanging="484" w:hangingChars="202"/>
              <w:jc w:val="left"/>
              <w:rPr>
                <w:rFonts w:hint="eastAsia" w:ascii="仿宋_GB2312" w:hAnsi="仿宋" w:eastAsia="仿宋_GB2312" w:cs="宋体"/>
                <w:kern w:val="0"/>
                <w:sz w:val="24"/>
                <w:lang w:val="en-US" w:eastAsia="zh-CN"/>
              </w:rPr>
            </w:pPr>
            <w:r>
              <w:rPr>
                <w:rFonts w:hint="eastAsia" w:ascii="仿宋_GB2312" w:hAnsi="仿宋" w:eastAsia="仿宋_GB2312" w:cs="宋体"/>
                <w:kern w:val="0"/>
                <w:sz w:val="24"/>
                <w:lang w:val="zh-CN"/>
              </w:rPr>
              <w:t>没有，不得分。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5</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537" w:type="dxa"/>
            <w:vMerge w:val="continue"/>
            <w:vAlign w:val="center"/>
          </w:tcPr>
          <w:p>
            <w:pPr>
              <w:widowControl/>
              <w:adjustRightInd w:val="0"/>
              <w:snapToGrid w:val="0"/>
              <w:spacing w:line="276" w:lineRule="auto"/>
              <w:rPr>
                <w:rFonts w:ascii="仿宋_GB2312" w:hAnsi="仿宋" w:eastAsia="仿宋_GB2312" w:cs="宋体"/>
                <w:kern w:val="0"/>
                <w:sz w:val="24"/>
              </w:rPr>
            </w:pPr>
          </w:p>
        </w:tc>
        <w:tc>
          <w:tcPr>
            <w:tcW w:w="4808" w:type="dxa"/>
            <w:vAlign w:val="center"/>
          </w:tcPr>
          <w:p>
            <w:pPr>
              <w:widowControl/>
              <w:adjustRightInd w:val="0"/>
              <w:snapToGrid w:val="0"/>
              <w:spacing w:line="276" w:lineRule="auto"/>
              <w:ind w:left="485" w:hanging="484" w:hangingChars="202"/>
              <w:jc w:val="left"/>
              <w:rPr>
                <w:rFonts w:ascii="仿宋_GB2312" w:hAnsi="仿宋" w:eastAsia="仿宋_GB2312" w:cs="宋体"/>
                <w:kern w:val="0"/>
                <w:sz w:val="24"/>
              </w:rPr>
            </w:pPr>
            <w:r>
              <w:rPr>
                <w:rFonts w:hint="eastAsia" w:ascii="仿宋_GB2312" w:hAnsi="仿宋" w:eastAsia="仿宋_GB2312" w:cs="宋体"/>
                <w:kern w:val="0"/>
                <w:sz w:val="24"/>
              </w:rPr>
              <w:t>8.2</w:t>
            </w:r>
            <w:r>
              <w:rPr>
                <w:rFonts w:hint="eastAsia" w:ascii="仿宋_GB2312" w:hAnsi="仿宋" w:eastAsia="仿宋_GB2312" w:cs="宋体"/>
                <w:kern w:val="0"/>
                <w:sz w:val="24"/>
                <w:lang w:val="en-US" w:eastAsia="zh-CN"/>
              </w:rPr>
              <w:t xml:space="preserve"> </w:t>
            </w:r>
            <w:r>
              <w:rPr>
                <w:rFonts w:hint="eastAsia" w:ascii="仿宋_GB2312" w:hAnsi="仿宋" w:eastAsia="仿宋_GB2312" w:cs="宋体"/>
                <w:kern w:val="0"/>
                <w:sz w:val="24"/>
                <w:lang w:val="zh-CN"/>
              </w:rPr>
              <w:t>在继续医学教育管理与培训方式上积极创新，取得成效</w:t>
            </w:r>
          </w:p>
        </w:tc>
        <w:tc>
          <w:tcPr>
            <w:tcW w:w="5670" w:type="dxa"/>
            <w:vAlign w:val="center"/>
          </w:tcPr>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管理创新，得3分；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方式创新，得2分；</w:t>
            </w:r>
          </w:p>
          <w:p>
            <w:pPr>
              <w:widowControl/>
              <w:adjustRightInd w:val="0"/>
              <w:snapToGrid w:val="0"/>
              <w:spacing w:line="276" w:lineRule="auto"/>
              <w:ind w:left="-4" w:hanging="4"/>
              <w:jc w:val="left"/>
              <w:rPr>
                <w:rFonts w:ascii="仿宋_GB2312" w:hAnsi="仿宋" w:eastAsia="仿宋_GB2312" w:cs="宋体"/>
                <w:kern w:val="0"/>
                <w:sz w:val="24"/>
                <w:lang w:val="zh-CN"/>
              </w:rPr>
            </w:pPr>
            <w:r>
              <w:rPr>
                <w:rFonts w:hint="eastAsia" w:ascii="仿宋_GB2312" w:hAnsi="仿宋" w:eastAsia="仿宋_GB2312" w:cs="宋体"/>
                <w:kern w:val="0"/>
                <w:sz w:val="24"/>
                <w:lang w:val="zh-CN"/>
              </w:rPr>
              <w:t>没有，不得分。</w:t>
            </w:r>
          </w:p>
        </w:tc>
        <w:tc>
          <w:tcPr>
            <w:tcW w:w="851" w:type="dxa"/>
            <w:vAlign w:val="center"/>
          </w:tcPr>
          <w:p>
            <w:pPr>
              <w:widowControl/>
              <w:adjustRightInd w:val="0"/>
              <w:snapToGrid w:val="0"/>
              <w:spacing w:line="276" w:lineRule="auto"/>
              <w:ind w:left="-4" w:hanging="4"/>
              <w:jc w:val="center"/>
              <w:rPr>
                <w:rFonts w:ascii="仿宋_GB2312" w:hAnsi="仿宋" w:eastAsia="仿宋_GB2312" w:cs="宋体"/>
                <w:kern w:val="0"/>
                <w:sz w:val="24"/>
              </w:rPr>
            </w:pPr>
            <w:r>
              <w:rPr>
                <w:rFonts w:hint="eastAsia" w:ascii="仿宋_GB2312" w:hAnsi="仿宋" w:eastAsia="仿宋_GB2312" w:cs="宋体"/>
                <w:kern w:val="0"/>
                <w:sz w:val="24"/>
              </w:rPr>
              <w:t>5</w:t>
            </w:r>
          </w:p>
        </w:tc>
        <w:tc>
          <w:tcPr>
            <w:tcW w:w="709" w:type="dxa"/>
            <w:vAlign w:val="center"/>
          </w:tcPr>
          <w:p>
            <w:pPr>
              <w:widowControl/>
              <w:adjustRightInd w:val="0"/>
              <w:snapToGrid w:val="0"/>
              <w:spacing w:line="276" w:lineRule="auto"/>
              <w:ind w:left="-4" w:hanging="4"/>
              <w:jc w:val="center"/>
              <w:rPr>
                <w:rFonts w:hint="eastAsia" w:ascii="仿宋_GB2312" w:hAnsi="仿宋" w:eastAsia="仿宋_GB2312" w:cs="宋体"/>
                <w:kern w:val="0"/>
                <w:sz w:val="24"/>
                <w:lang w:val="en-US" w:eastAsia="zh-CN"/>
              </w:rPr>
            </w:pPr>
          </w:p>
        </w:tc>
        <w:tc>
          <w:tcPr>
            <w:tcW w:w="1252" w:type="dxa"/>
          </w:tcPr>
          <w:p>
            <w:pPr>
              <w:widowControl/>
              <w:adjustRightInd w:val="0"/>
              <w:snapToGrid w:val="0"/>
              <w:spacing w:line="276" w:lineRule="auto"/>
              <w:ind w:left="-4" w:hanging="4"/>
              <w:jc w:val="left"/>
              <w:rPr>
                <w:rFonts w:ascii="仿宋_GB2312" w:hAnsi="仿宋" w:eastAsia="仿宋_GB2312" w:cs="宋体"/>
                <w:kern w:val="0"/>
                <w:sz w:val="24"/>
                <w:lang w:val="zh-CN"/>
              </w:rPr>
            </w:pPr>
          </w:p>
        </w:tc>
      </w:tr>
    </w:tbl>
    <w:p>
      <w:pPr>
        <w:rPr>
          <w:rFonts w:ascii="仿宋" w:hAnsi="仿宋" w:eastAsia="仿宋"/>
          <w:sz w:val="32"/>
          <w:szCs w:val="32"/>
        </w:rPr>
      </w:pPr>
    </w:p>
    <w:sectPr>
      <w:headerReference r:id="rId3" w:type="even"/>
      <w:pgSz w:w="16838" w:h="11906" w:orient="landscape"/>
      <w:pgMar w:top="1701" w:right="1247" w:bottom="1701" w:left="79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65E71"/>
    <w:multiLevelType w:val="singleLevel"/>
    <w:tmpl w:val="B2A65E71"/>
    <w:lvl w:ilvl="0" w:tentative="0">
      <w:start w:val="5"/>
      <w:numFmt w:val="decimal"/>
      <w:lvlText w:val="%1."/>
      <w:lvlJc w:val="left"/>
      <w:pPr>
        <w:tabs>
          <w:tab w:val="left" w:pos="312"/>
        </w:tabs>
      </w:pPr>
    </w:lvl>
  </w:abstractNum>
  <w:abstractNum w:abstractNumId="1">
    <w:nsid w:val="1C676CAE"/>
    <w:multiLevelType w:val="singleLevel"/>
    <w:tmpl w:val="1C676CAE"/>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ODVjY2RiY2Q1MjJkMzBjNGI5YjU5N2RhYmQxMTAifQ=="/>
  </w:docVars>
  <w:rsids>
    <w:rsidRoot w:val="00E57937"/>
    <w:rsid w:val="00002FBC"/>
    <w:rsid w:val="00003591"/>
    <w:rsid w:val="00003754"/>
    <w:rsid w:val="00003F4E"/>
    <w:rsid w:val="000065F9"/>
    <w:rsid w:val="000127FB"/>
    <w:rsid w:val="000159C8"/>
    <w:rsid w:val="00022C9B"/>
    <w:rsid w:val="000238DB"/>
    <w:rsid w:val="00034B69"/>
    <w:rsid w:val="000429BE"/>
    <w:rsid w:val="000438B5"/>
    <w:rsid w:val="00045F08"/>
    <w:rsid w:val="000515B9"/>
    <w:rsid w:val="00051773"/>
    <w:rsid w:val="000517D0"/>
    <w:rsid w:val="00053234"/>
    <w:rsid w:val="00053B7C"/>
    <w:rsid w:val="000633B6"/>
    <w:rsid w:val="000671C1"/>
    <w:rsid w:val="00070920"/>
    <w:rsid w:val="00072FB1"/>
    <w:rsid w:val="000752F2"/>
    <w:rsid w:val="00075579"/>
    <w:rsid w:val="000758C3"/>
    <w:rsid w:val="00075E4A"/>
    <w:rsid w:val="00077DB8"/>
    <w:rsid w:val="00081D44"/>
    <w:rsid w:val="000841E9"/>
    <w:rsid w:val="00084264"/>
    <w:rsid w:val="000857A7"/>
    <w:rsid w:val="00086804"/>
    <w:rsid w:val="0009665C"/>
    <w:rsid w:val="000A0099"/>
    <w:rsid w:val="000A28B7"/>
    <w:rsid w:val="000A3DEC"/>
    <w:rsid w:val="000A675B"/>
    <w:rsid w:val="000B06F5"/>
    <w:rsid w:val="000B0A08"/>
    <w:rsid w:val="000C06F2"/>
    <w:rsid w:val="000C58F9"/>
    <w:rsid w:val="000D132E"/>
    <w:rsid w:val="000D1DDE"/>
    <w:rsid w:val="000E2471"/>
    <w:rsid w:val="000F44E4"/>
    <w:rsid w:val="000F47AB"/>
    <w:rsid w:val="000F7EE2"/>
    <w:rsid w:val="001158AE"/>
    <w:rsid w:val="00123AF6"/>
    <w:rsid w:val="00125BDF"/>
    <w:rsid w:val="00126670"/>
    <w:rsid w:val="001277B5"/>
    <w:rsid w:val="00134564"/>
    <w:rsid w:val="00140C6C"/>
    <w:rsid w:val="00141F42"/>
    <w:rsid w:val="0014264B"/>
    <w:rsid w:val="00144BA9"/>
    <w:rsid w:val="00145CCD"/>
    <w:rsid w:val="00152289"/>
    <w:rsid w:val="00167710"/>
    <w:rsid w:val="00171C0C"/>
    <w:rsid w:val="00171F7E"/>
    <w:rsid w:val="0017250C"/>
    <w:rsid w:val="00174817"/>
    <w:rsid w:val="00174DA0"/>
    <w:rsid w:val="00175535"/>
    <w:rsid w:val="00181DD4"/>
    <w:rsid w:val="00182235"/>
    <w:rsid w:val="001822D5"/>
    <w:rsid w:val="001876F1"/>
    <w:rsid w:val="00192C61"/>
    <w:rsid w:val="001936C7"/>
    <w:rsid w:val="001939FA"/>
    <w:rsid w:val="001A2E5E"/>
    <w:rsid w:val="001A3753"/>
    <w:rsid w:val="001A6053"/>
    <w:rsid w:val="001B26A1"/>
    <w:rsid w:val="001B2A82"/>
    <w:rsid w:val="001C2189"/>
    <w:rsid w:val="001C2FFB"/>
    <w:rsid w:val="001C5F50"/>
    <w:rsid w:val="001D0C1D"/>
    <w:rsid w:val="001D201B"/>
    <w:rsid w:val="001D29DD"/>
    <w:rsid w:val="001D46A5"/>
    <w:rsid w:val="001D65DB"/>
    <w:rsid w:val="001E0849"/>
    <w:rsid w:val="001E41F9"/>
    <w:rsid w:val="001E588E"/>
    <w:rsid w:val="001E77A5"/>
    <w:rsid w:val="001E77A7"/>
    <w:rsid w:val="001F53A5"/>
    <w:rsid w:val="001F7954"/>
    <w:rsid w:val="002018DD"/>
    <w:rsid w:val="00203133"/>
    <w:rsid w:val="00203B67"/>
    <w:rsid w:val="00203E6C"/>
    <w:rsid w:val="00205352"/>
    <w:rsid w:val="00206C93"/>
    <w:rsid w:val="00212B6D"/>
    <w:rsid w:val="002154BC"/>
    <w:rsid w:val="00220389"/>
    <w:rsid w:val="00222911"/>
    <w:rsid w:val="00225053"/>
    <w:rsid w:val="0022514B"/>
    <w:rsid w:val="002262CE"/>
    <w:rsid w:val="00236E28"/>
    <w:rsid w:val="00237B38"/>
    <w:rsid w:val="00242007"/>
    <w:rsid w:val="00242B26"/>
    <w:rsid w:val="0024554A"/>
    <w:rsid w:val="002464C1"/>
    <w:rsid w:val="00250661"/>
    <w:rsid w:val="002563F3"/>
    <w:rsid w:val="002636A5"/>
    <w:rsid w:val="00264DC0"/>
    <w:rsid w:val="00270D72"/>
    <w:rsid w:val="00272392"/>
    <w:rsid w:val="00276C4A"/>
    <w:rsid w:val="00284814"/>
    <w:rsid w:val="0028741A"/>
    <w:rsid w:val="00287A5D"/>
    <w:rsid w:val="0029162F"/>
    <w:rsid w:val="0029251E"/>
    <w:rsid w:val="00297637"/>
    <w:rsid w:val="002A0C34"/>
    <w:rsid w:val="002A35C0"/>
    <w:rsid w:val="002A4D0A"/>
    <w:rsid w:val="002A54B6"/>
    <w:rsid w:val="002B4341"/>
    <w:rsid w:val="002B71E6"/>
    <w:rsid w:val="002C32C4"/>
    <w:rsid w:val="002C38AF"/>
    <w:rsid w:val="002C5FAC"/>
    <w:rsid w:val="002C636B"/>
    <w:rsid w:val="002C711B"/>
    <w:rsid w:val="002D10E5"/>
    <w:rsid w:val="002E19CB"/>
    <w:rsid w:val="002E719E"/>
    <w:rsid w:val="003020AD"/>
    <w:rsid w:val="00303CE0"/>
    <w:rsid w:val="00303E72"/>
    <w:rsid w:val="00306387"/>
    <w:rsid w:val="0030678B"/>
    <w:rsid w:val="00307D9B"/>
    <w:rsid w:val="00315194"/>
    <w:rsid w:val="00317113"/>
    <w:rsid w:val="003178D9"/>
    <w:rsid w:val="00320BBB"/>
    <w:rsid w:val="00320CB0"/>
    <w:rsid w:val="00320F28"/>
    <w:rsid w:val="00324376"/>
    <w:rsid w:val="00332103"/>
    <w:rsid w:val="0033364E"/>
    <w:rsid w:val="00340D2A"/>
    <w:rsid w:val="003422D5"/>
    <w:rsid w:val="00343D4D"/>
    <w:rsid w:val="00347DCC"/>
    <w:rsid w:val="00353A96"/>
    <w:rsid w:val="00355896"/>
    <w:rsid w:val="00357466"/>
    <w:rsid w:val="003577FB"/>
    <w:rsid w:val="0036123A"/>
    <w:rsid w:val="00362D3C"/>
    <w:rsid w:val="00363206"/>
    <w:rsid w:val="00366489"/>
    <w:rsid w:val="00371EF8"/>
    <w:rsid w:val="00372328"/>
    <w:rsid w:val="00372636"/>
    <w:rsid w:val="00377AFE"/>
    <w:rsid w:val="00381707"/>
    <w:rsid w:val="0038357B"/>
    <w:rsid w:val="00393789"/>
    <w:rsid w:val="00396B73"/>
    <w:rsid w:val="003A0462"/>
    <w:rsid w:val="003A421A"/>
    <w:rsid w:val="003B2C56"/>
    <w:rsid w:val="003B2F19"/>
    <w:rsid w:val="003B3027"/>
    <w:rsid w:val="003B4A07"/>
    <w:rsid w:val="003B7368"/>
    <w:rsid w:val="003C15AA"/>
    <w:rsid w:val="003C2564"/>
    <w:rsid w:val="003C5E84"/>
    <w:rsid w:val="003C6862"/>
    <w:rsid w:val="003D22A8"/>
    <w:rsid w:val="003D2334"/>
    <w:rsid w:val="003D57E0"/>
    <w:rsid w:val="003D7746"/>
    <w:rsid w:val="003E4CFF"/>
    <w:rsid w:val="003E566C"/>
    <w:rsid w:val="003F1747"/>
    <w:rsid w:val="003F3282"/>
    <w:rsid w:val="003F4041"/>
    <w:rsid w:val="0040163C"/>
    <w:rsid w:val="00404749"/>
    <w:rsid w:val="00404FAC"/>
    <w:rsid w:val="004061C3"/>
    <w:rsid w:val="00407D9F"/>
    <w:rsid w:val="004120B9"/>
    <w:rsid w:val="00415CDD"/>
    <w:rsid w:val="004171C8"/>
    <w:rsid w:val="004200E5"/>
    <w:rsid w:val="0042283E"/>
    <w:rsid w:val="00422C44"/>
    <w:rsid w:val="00423B8E"/>
    <w:rsid w:val="00427A7E"/>
    <w:rsid w:val="00430668"/>
    <w:rsid w:val="00435F6B"/>
    <w:rsid w:val="00437536"/>
    <w:rsid w:val="00443AA4"/>
    <w:rsid w:val="00452111"/>
    <w:rsid w:val="004527E2"/>
    <w:rsid w:val="00453D4E"/>
    <w:rsid w:val="00456CB8"/>
    <w:rsid w:val="00457E2E"/>
    <w:rsid w:val="004633CE"/>
    <w:rsid w:val="00464EAF"/>
    <w:rsid w:val="0046560F"/>
    <w:rsid w:val="00466682"/>
    <w:rsid w:val="004731D5"/>
    <w:rsid w:val="0048188B"/>
    <w:rsid w:val="0049036D"/>
    <w:rsid w:val="00490868"/>
    <w:rsid w:val="00490B14"/>
    <w:rsid w:val="00490F6F"/>
    <w:rsid w:val="004961CD"/>
    <w:rsid w:val="004965C8"/>
    <w:rsid w:val="004A16D2"/>
    <w:rsid w:val="004A2A3D"/>
    <w:rsid w:val="004A5B4B"/>
    <w:rsid w:val="004A716D"/>
    <w:rsid w:val="004A7785"/>
    <w:rsid w:val="004B50E9"/>
    <w:rsid w:val="004B6C5C"/>
    <w:rsid w:val="004B75E4"/>
    <w:rsid w:val="004B7AC7"/>
    <w:rsid w:val="004C40EE"/>
    <w:rsid w:val="004C4AB3"/>
    <w:rsid w:val="004C5297"/>
    <w:rsid w:val="004D1679"/>
    <w:rsid w:val="004D4959"/>
    <w:rsid w:val="004D59BA"/>
    <w:rsid w:val="004D5D2D"/>
    <w:rsid w:val="004D5FF7"/>
    <w:rsid w:val="004E0FEE"/>
    <w:rsid w:val="004E125E"/>
    <w:rsid w:val="004E32AC"/>
    <w:rsid w:val="004E3EDB"/>
    <w:rsid w:val="004E40F6"/>
    <w:rsid w:val="004F0214"/>
    <w:rsid w:val="004F1EFD"/>
    <w:rsid w:val="004F3E45"/>
    <w:rsid w:val="004F7699"/>
    <w:rsid w:val="00505231"/>
    <w:rsid w:val="00505F13"/>
    <w:rsid w:val="00510BDD"/>
    <w:rsid w:val="005140A6"/>
    <w:rsid w:val="00515806"/>
    <w:rsid w:val="0053093B"/>
    <w:rsid w:val="00535F71"/>
    <w:rsid w:val="00536F9F"/>
    <w:rsid w:val="005377D3"/>
    <w:rsid w:val="0054270F"/>
    <w:rsid w:val="005463A4"/>
    <w:rsid w:val="00547636"/>
    <w:rsid w:val="00554CA3"/>
    <w:rsid w:val="00557777"/>
    <w:rsid w:val="00572C3E"/>
    <w:rsid w:val="00577F6B"/>
    <w:rsid w:val="005803D4"/>
    <w:rsid w:val="00581608"/>
    <w:rsid w:val="00581860"/>
    <w:rsid w:val="00582520"/>
    <w:rsid w:val="00583D87"/>
    <w:rsid w:val="005869ED"/>
    <w:rsid w:val="005946A5"/>
    <w:rsid w:val="005A0945"/>
    <w:rsid w:val="005A26BB"/>
    <w:rsid w:val="005A4345"/>
    <w:rsid w:val="005A4AB6"/>
    <w:rsid w:val="005C0E51"/>
    <w:rsid w:val="005C4C8A"/>
    <w:rsid w:val="005D0A62"/>
    <w:rsid w:val="005D7AF9"/>
    <w:rsid w:val="005E045E"/>
    <w:rsid w:val="005F18DA"/>
    <w:rsid w:val="005F2CF0"/>
    <w:rsid w:val="005F4EFB"/>
    <w:rsid w:val="005F6263"/>
    <w:rsid w:val="006072EC"/>
    <w:rsid w:val="00617FD1"/>
    <w:rsid w:val="00621B65"/>
    <w:rsid w:val="00624389"/>
    <w:rsid w:val="0063068E"/>
    <w:rsid w:val="00630A89"/>
    <w:rsid w:val="006313E8"/>
    <w:rsid w:val="00632870"/>
    <w:rsid w:val="0063340D"/>
    <w:rsid w:val="00633F25"/>
    <w:rsid w:val="006344BC"/>
    <w:rsid w:val="00636975"/>
    <w:rsid w:val="00652FCB"/>
    <w:rsid w:val="00653253"/>
    <w:rsid w:val="00653685"/>
    <w:rsid w:val="006618CC"/>
    <w:rsid w:val="006626A7"/>
    <w:rsid w:val="00664A54"/>
    <w:rsid w:val="00667E3D"/>
    <w:rsid w:val="00675C5C"/>
    <w:rsid w:val="00685322"/>
    <w:rsid w:val="006872F1"/>
    <w:rsid w:val="00691158"/>
    <w:rsid w:val="00692EBB"/>
    <w:rsid w:val="00692F34"/>
    <w:rsid w:val="006969D9"/>
    <w:rsid w:val="006971E6"/>
    <w:rsid w:val="006A0063"/>
    <w:rsid w:val="006A2147"/>
    <w:rsid w:val="006B05DD"/>
    <w:rsid w:val="006B493C"/>
    <w:rsid w:val="006C0823"/>
    <w:rsid w:val="006C2C7D"/>
    <w:rsid w:val="006C4BE9"/>
    <w:rsid w:val="006C5785"/>
    <w:rsid w:val="006C6F24"/>
    <w:rsid w:val="006C7557"/>
    <w:rsid w:val="006C7889"/>
    <w:rsid w:val="006D0734"/>
    <w:rsid w:val="006E24C9"/>
    <w:rsid w:val="006E2514"/>
    <w:rsid w:val="006F035A"/>
    <w:rsid w:val="006F3F3F"/>
    <w:rsid w:val="006F549C"/>
    <w:rsid w:val="006F5B66"/>
    <w:rsid w:val="006F65D2"/>
    <w:rsid w:val="006F7641"/>
    <w:rsid w:val="007030C1"/>
    <w:rsid w:val="00706058"/>
    <w:rsid w:val="00711F30"/>
    <w:rsid w:val="007222E9"/>
    <w:rsid w:val="0072281C"/>
    <w:rsid w:val="00724D85"/>
    <w:rsid w:val="0073286C"/>
    <w:rsid w:val="0073623F"/>
    <w:rsid w:val="007408EC"/>
    <w:rsid w:val="00741D7B"/>
    <w:rsid w:val="00746F4C"/>
    <w:rsid w:val="007473FF"/>
    <w:rsid w:val="00750AFB"/>
    <w:rsid w:val="007510EE"/>
    <w:rsid w:val="00755170"/>
    <w:rsid w:val="00756B91"/>
    <w:rsid w:val="0076040B"/>
    <w:rsid w:val="007611D7"/>
    <w:rsid w:val="00763045"/>
    <w:rsid w:val="00763549"/>
    <w:rsid w:val="00763714"/>
    <w:rsid w:val="00765605"/>
    <w:rsid w:val="00765E13"/>
    <w:rsid w:val="00776F43"/>
    <w:rsid w:val="00781807"/>
    <w:rsid w:val="00783A26"/>
    <w:rsid w:val="00791F9A"/>
    <w:rsid w:val="00795A47"/>
    <w:rsid w:val="007A36D8"/>
    <w:rsid w:val="007A3787"/>
    <w:rsid w:val="007A73E3"/>
    <w:rsid w:val="007B0E19"/>
    <w:rsid w:val="007C25AE"/>
    <w:rsid w:val="007C5A53"/>
    <w:rsid w:val="007C73C4"/>
    <w:rsid w:val="007D027A"/>
    <w:rsid w:val="007D0773"/>
    <w:rsid w:val="007D1ADF"/>
    <w:rsid w:val="007D1B7C"/>
    <w:rsid w:val="007D1E25"/>
    <w:rsid w:val="007D397C"/>
    <w:rsid w:val="007D3C79"/>
    <w:rsid w:val="007D457A"/>
    <w:rsid w:val="007D6158"/>
    <w:rsid w:val="007D6394"/>
    <w:rsid w:val="007D72F7"/>
    <w:rsid w:val="007D79D3"/>
    <w:rsid w:val="007E0B92"/>
    <w:rsid w:val="007E1B97"/>
    <w:rsid w:val="007E4E8F"/>
    <w:rsid w:val="007E7557"/>
    <w:rsid w:val="007F4CA4"/>
    <w:rsid w:val="007F57C5"/>
    <w:rsid w:val="007F5C38"/>
    <w:rsid w:val="008010A8"/>
    <w:rsid w:val="00801F8E"/>
    <w:rsid w:val="00805B20"/>
    <w:rsid w:val="008073E2"/>
    <w:rsid w:val="00815D33"/>
    <w:rsid w:val="008218F4"/>
    <w:rsid w:val="00821B82"/>
    <w:rsid w:val="00822D56"/>
    <w:rsid w:val="00824480"/>
    <w:rsid w:val="00831965"/>
    <w:rsid w:val="0083600F"/>
    <w:rsid w:val="00837611"/>
    <w:rsid w:val="00844DE4"/>
    <w:rsid w:val="00845442"/>
    <w:rsid w:val="00846624"/>
    <w:rsid w:val="00846782"/>
    <w:rsid w:val="00847E11"/>
    <w:rsid w:val="00853BED"/>
    <w:rsid w:val="00857DCD"/>
    <w:rsid w:val="00862B85"/>
    <w:rsid w:val="008635DE"/>
    <w:rsid w:val="00866076"/>
    <w:rsid w:val="0086633A"/>
    <w:rsid w:val="00873693"/>
    <w:rsid w:val="00874B16"/>
    <w:rsid w:val="008831EE"/>
    <w:rsid w:val="008A08D2"/>
    <w:rsid w:val="008A12BD"/>
    <w:rsid w:val="008A755C"/>
    <w:rsid w:val="008B50B2"/>
    <w:rsid w:val="008B7288"/>
    <w:rsid w:val="008C0771"/>
    <w:rsid w:val="008C37DA"/>
    <w:rsid w:val="008D1354"/>
    <w:rsid w:val="008D37D2"/>
    <w:rsid w:val="008D3B96"/>
    <w:rsid w:val="008D493A"/>
    <w:rsid w:val="008D5013"/>
    <w:rsid w:val="008E323A"/>
    <w:rsid w:val="008F09E8"/>
    <w:rsid w:val="008F5480"/>
    <w:rsid w:val="008F5E12"/>
    <w:rsid w:val="0090138E"/>
    <w:rsid w:val="00911FD7"/>
    <w:rsid w:val="00914D0C"/>
    <w:rsid w:val="00916D8C"/>
    <w:rsid w:val="00920164"/>
    <w:rsid w:val="00920B02"/>
    <w:rsid w:val="009227EE"/>
    <w:rsid w:val="0092458D"/>
    <w:rsid w:val="009356D7"/>
    <w:rsid w:val="00935C07"/>
    <w:rsid w:val="00936E19"/>
    <w:rsid w:val="00940050"/>
    <w:rsid w:val="00941FBB"/>
    <w:rsid w:val="00943F4D"/>
    <w:rsid w:val="00944D37"/>
    <w:rsid w:val="00946DFC"/>
    <w:rsid w:val="009540D1"/>
    <w:rsid w:val="00965F18"/>
    <w:rsid w:val="00970307"/>
    <w:rsid w:val="00970F63"/>
    <w:rsid w:val="00977B3B"/>
    <w:rsid w:val="00981A70"/>
    <w:rsid w:val="009846E7"/>
    <w:rsid w:val="00984941"/>
    <w:rsid w:val="0098571F"/>
    <w:rsid w:val="009858BF"/>
    <w:rsid w:val="00986D58"/>
    <w:rsid w:val="009875CE"/>
    <w:rsid w:val="00987E48"/>
    <w:rsid w:val="00992BDF"/>
    <w:rsid w:val="0099386F"/>
    <w:rsid w:val="009947F9"/>
    <w:rsid w:val="009A0F17"/>
    <w:rsid w:val="009A132B"/>
    <w:rsid w:val="009A2C3F"/>
    <w:rsid w:val="009B1248"/>
    <w:rsid w:val="009B13CA"/>
    <w:rsid w:val="009C1C7D"/>
    <w:rsid w:val="009C3CC3"/>
    <w:rsid w:val="009D35E3"/>
    <w:rsid w:val="009D367F"/>
    <w:rsid w:val="009D424B"/>
    <w:rsid w:val="009D6A20"/>
    <w:rsid w:val="009E0E51"/>
    <w:rsid w:val="009E1520"/>
    <w:rsid w:val="009F2F48"/>
    <w:rsid w:val="009F599B"/>
    <w:rsid w:val="009F6FC1"/>
    <w:rsid w:val="009F7AD4"/>
    <w:rsid w:val="00A00C0D"/>
    <w:rsid w:val="00A0481B"/>
    <w:rsid w:val="00A04A36"/>
    <w:rsid w:val="00A050B2"/>
    <w:rsid w:val="00A06D30"/>
    <w:rsid w:val="00A11F97"/>
    <w:rsid w:val="00A17EE8"/>
    <w:rsid w:val="00A22530"/>
    <w:rsid w:val="00A26C6B"/>
    <w:rsid w:val="00A41217"/>
    <w:rsid w:val="00A4308C"/>
    <w:rsid w:val="00A43F29"/>
    <w:rsid w:val="00A50A11"/>
    <w:rsid w:val="00A52EE1"/>
    <w:rsid w:val="00A53AA6"/>
    <w:rsid w:val="00A56204"/>
    <w:rsid w:val="00A5716E"/>
    <w:rsid w:val="00A617CD"/>
    <w:rsid w:val="00A63272"/>
    <w:rsid w:val="00A63E2E"/>
    <w:rsid w:val="00A678DB"/>
    <w:rsid w:val="00A71365"/>
    <w:rsid w:val="00A7307F"/>
    <w:rsid w:val="00A77463"/>
    <w:rsid w:val="00A81E91"/>
    <w:rsid w:val="00A83286"/>
    <w:rsid w:val="00A8470E"/>
    <w:rsid w:val="00A84B00"/>
    <w:rsid w:val="00A94A9A"/>
    <w:rsid w:val="00AA2E6F"/>
    <w:rsid w:val="00AA79EC"/>
    <w:rsid w:val="00AB2028"/>
    <w:rsid w:val="00AC37DC"/>
    <w:rsid w:val="00AC40F1"/>
    <w:rsid w:val="00AC46AB"/>
    <w:rsid w:val="00AC5932"/>
    <w:rsid w:val="00AD0F4F"/>
    <w:rsid w:val="00AD17CF"/>
    <w:rsid w:val="00AD1C9C"/>
    <w:rsid w:val="00AD2837"/>
    <w:rsid w:val="00AD5183"/>
    <w:rsid w:val="00AE392C"/>
    <w:rsid w:val="00AE47AD"/>
    <w:rsid w:val="00AE4F30"/>
    <w:rsid w:val="00AE6B0E"/>
    <w:rsid w:val="00AE70B0"/>
    <w:rsid w:val="00AF0A41"/>
    <w:rsid w:val="00AF0D43"/>
    <w:rsid w:val="00AF2E54"/>
    <w:rsid w:val="00AF3096"/>
    <w:rsid w:val="00AF621B"/>
    <w:rsid w:val="00AF7EC3"/>
    <w:rsid w:val="00B04578"/>
    <w:rsid w:val="00B0552C"/>
    <w:rsid w:val="00B07A2C"/>
    <w:rsid w:val="00B11F20"/>
    <w:rsid w:val="00B12098"/>
    <w:rsid w:val="00B123C7"/>
    <w:rsid w:val="00B131E9"/>
    <w:rsid w:val="00B13227"/>
    <w:rsid w:val="00B32A56"/>
    <w:rsid w:val="00B35B13"/>
    <w:rsid w:val="00B372CB"/>
    <w:rsid w:val="00B3759A"/>
    <w:rsid w:val="00B40F25"/>
    <w:rsid w:val="00B45753"/>
    <w:rsid w:val="00B462B1"/>
    <w:rsid w:val="00B50A29"/>
    <w:rsid w:val="00B533AA"/>
    <w:rsid w:val="00B55F79"/>
    <w:rsid w:val="00B6187B"/>
    <w:rsid w:val="00B61D3D"/>
    <w:rsid w:val="00B63D1D"/>
    <w:rsid w:val="00B64B56"/>
    <w:rsid w:val="00B672C7"/>
    <w:rsid w:val="00B72B08"/>
    <w:rsid w:val="00B80071"/>
    <w:rsid w:val="00B83F78"/>
    <w:rsid w:val="00B86725"/>
    <w:rsid w:val="00B95B2A"/>
    <w:rsid w:val="00B96FBC"/>
    <w:rsid w:val="00B97255"/>
    <w:rsid w:val="00BA29FF"/>
    <w:rsid w:val="00BA50C2"/>
    <w:rsid w:val="00BB210C"/>
    <w:rsid w:val="00BB2D20"/>
    <w:rsid w:val="00BB5E76"/>
    <w:rsid w:val="00BB7D01"/>
    <w:rsid w:val="00BD4AA5"/>
    <w:rsid w:val="00BD508E"/>
    <w:rsid w:val="00BE306E"/>
    <w:rsid w:val="00BE4B8E"/>
    <w:rsid w:val="00BE5316"/>
    <w:rsid w:val="00BE6552"/>
    <w:rsid w:val="00BE6B3B"/>
    <w:rsid w:val="00BE764A"/>
    <w:rsid w:val="00BE764E"/>
    <w:rsid w:val="00BF4B12"/>
    <w:rsid w:val="00C00C10"/>
    <w:rsid w:val="00C042B1"/>
    <w:rsid w:val="00C0453F"/>
    <w:rsid w:val="00C1023B"/>
    <w:rsid w:val="00C10AAF"/>
    <w:rsid w:val="00C13C6F"/>
    <w:rsid w:val="00C15180"/>
    <w:rsid w:val="00C162DB"/>
    <w:rsid w:val="00C16990"/>
    <w:rsid w:val="00C173D8"/>
    <w:rsid w:val="00C269A7"/>
    <w:rsid w:val="00C31897"/>
    <w:rsid w:val="00C31ADA"/>
    <w:rsid w:val="00C36EDE"/>
    <w:rsid w:val="00C37858"/>
    <w:rsid w:val="00C435EC"/>
    <w:rsid w:val="00C44100"/>
    <w:rsid w:val="00C4771B"/>
    <w:rsid w:val="00C52AF7"/>
    <w:rsid w:val="00C540C7"/>
    <w:rsid w:val="00C60AF5"/>
    <w:rsid w:val="00C71F5F"/>
    <w:rsid w:val="00C73585"/>
    <w:rsid w:val="00C74852"/>
    <w:rsid w:val="00C750AD"/>
    <w:rsid w:val="00C752D4"/>
    <w:rsid w:val="00C83718"/>
    <w:rsid w:val="00C83D5C"/>
    <w:rsid w:val="00C854E9"/>
    <w:rsid w:val="00C85524"/>
    <w:rsid w:val="00C8676C"/>
    <w:rsid w:val="00C92B31"/>
    <w:rsid w:val="00C92D19"/>
    <w:rsid w:val="00C941E3"/>
    <w:rsid w:val="00CA352D"/>
    <w:rsid w:val="00CA7086"/>
    <w:rsid w:val="00CB2DB6"/>
    <w:rsid w:val="00CB6282"/>
    <w:rsid w:val="00CC27C0"/>
    <w:rsid w:val="00CC3C2E"/>
    <w:rsid w:val="00CC4591"/>
    <w:rsid w:val="00CC59ED"/>
    <w:rsid w:val="00CC5AF6"/>
    <w:rsid w:val="00CD06D4"/>
    <w:rsid w:val="00CD3FB0"/>
    <w:rsid w:val="00CE6721"/>
    <w:rsid w:val="00CF3AC5"/>
    <w:rsid w:val="00CF4542"/>
    <w:rsid w:val="00D00C48"/>
    <w:rsid w:val="00D0266E"/>
    <w:rsid w:val="00D03C8C"/>
    <w:rsid w:val="00D0562A"/>
    <w:rsid w:val="00D05EC1"/>
    <w:rsid w:val="00D109F8"/>
    <w:rsid w:val="00D14B5A"/>
    <w:rsid w:val="00D16349"/>
    <w:rsid w:val="00D23D62"/>
    <w:rsid w:val="00D244AD"/>
    <w:rsid w:val="00D26DF9"/>
    <w:rsid w:val="00D27B21"/>
    <w:rsid w:val="00D325BF"/>
    <w:rsid w:val="00D33FA0"/>
    <w:rsid w:val="00D36394"/>
    <w:rsid w:val="00D41B92"/>
    <w:rsid w:val="00D45969"/>
    <w:rsid w:val="00D50573"/>
    <w:rsid w:val="00D51882"/>
    <w:rsid w:val="00D5608E"/>
    <w:rsid w:val="00D567DF"/>
    <w:rsid w:val="00D57285"/>
    <w:rsid w:val="00D611E8"/>
    <w:rsid w:val="00D63B59"/>
    <w:rsid w:val="00D64D61"/>
    <w:rsid w:val="00D66E5F"/>
    <w:rsid w:val="00D71A6F"/>
    <w:rsid w:val="00D74AB6"/>
    <w:rsid w:val="00D77525"/>
    <w:rsid w:val="00D874A9"/>
    <w:rsid w:val="00D90089"/>
    <w:rsid w:val="00D90C44"/>
    <w:rsid w:val="00D918A9"/>
    <w:rsid w:val="00D94CFB"/>
    <w:rsid w:val="00DA2A66"/>
    <w:rsid w:val="00DA44B8"/>
    <w:rsid w:val="00DB21A0"/>
    <w:rsid w:val="00DB2A77"/>
    <w:rsid w:val="00DB4F33"/>
    <w:rsid w:val="00DB5F16"/>
    <w:rsid w:val="00DC4BFC"/>
    <w:rsid w:val="00DC7263"/>
    <w:rsid w:val="00DC7789"/>
    <w:rsid w:val="00DD0F98"/>
    <w:rsid w:val="00DD4D11"/>
    <w:rsid w:val="00DD7119"/>
    <w:rsid w:val="00DE454B"/>
    <w:rsid w:val="00DE78AE"/>
    <w:rsid w:val="00DF0C86"/>
    <w:rsid w:val="00DF387A"/>
    <w:rsid w:val="00DF59D9"/>
    <w:rsid w:val="00DF6DD6"/>
    <w:rsid w:val="00DF7EC7"/>
    <w:rsid w:val="00E00FF8"/>
    <w:rsid w:val="00E01E2B"/>
    <w:rsid w:val="00E0333D"/>
    <w:rsid w:val="00E0350D"/>
    <w:rsid w:val="00E03B6B"/>
    <w:rsid w:val="00E060F0"/>
    <w:rsid w:val="00E103A3"/>
    <w:rsid w:val="00E10CC2"/>
    <w:rsid w:val="00E10E66"/>
    <w:rsid w:val="00E110C8"/>
    <w:rsid w:val="00E13364"/>
    <w:rsid w:val="00E13974"/>
    <w:rsid w:val="00E1436B"/>
    <w:rsid w:val="00E16358"/>
    <w:rsid w:val="00E17757"/>
    <w:rsid w:val="00E21361"/>
    <w:rsid w:val="00E24772"/>
    <w:rsid w:val="00E30B5D"/>
    <w:rsid w:val="00E321FD"/>
    <w:rsid w:val="00E332F1"/>
    <w:rsid w:val="00E341E6"/>
    <w:rsid w:val="00E40296"/>
    <w:rsid w:val="00E412C9"/>
    <w:rsid w:val="00E47913"/>
    <w:rsid w:val="00E50996"/>
    <w:rsid w:val="00E51908"/>
    <w:rsid w:val="00E53EE2"/>
    <w:rsid w:val="00E547B3"/>
    <w:rsid w:val="00E55E3B"/>
    <w:rsid w:val="00E57937"/>
    <w:rsid w:val="00E623A5"/>
    <w:rsid w:val="00E70B6C"/>
    <w:rsid w:val="00E7146A"/>
    <w:rsid w:val="00E80195"/>
    <w:rsid w:val="00E83396"/>
    <w:rsid w:val="00E916CE"/>
    <w:rsid w:val="00E94220"/>
    <w:rsid w:val="00EA2392"/>
    <w:rsid w:val="00EB601F"/>
    <w:rsid w:val="00EC0AE6"/>
    <w:rsid w:val="00EC4729"/>
    <w:rsid w:val="00EC57EC"/>
    <w:rsid w:val="00EC6FA3"/>
    <w:rsid w:val="00ED0066"/>
    <w:rsid w:val="00ED2AB9"/>
    <w:rsid w:val="00ED5298"/>
    <w:rsid w:val="00ED669C"/>
    <w:rsid w:val="00ED6ACD"/>
    <w:rsid w:val="00ED6C91"/>
    <w:rsid w:val="00ED7507"/>
    <w:rsid w:val="00EE09CD"/>
    <w:rsid w:val="00EE5D6B"/>
    <w:rsid w:val="00EE604C"/>
    <w:rsid w:val="00EF02E9"/>
    <w:rsid w:val="00EF3313"/>
    <w:rsid w:val="00EF5DE8"/>
    <w:rsid w:val="00F054DD"/>
    <w:rsid w:val="00F06964"/>
    <w:rsid w:val="00F10A96"/>
    <w:rsid w:val="00F10D7E"/>
    <w:rsid w:val="00F114EE"/>
    <w:rsid w:val="00F15842"/>
    <w:rsid w:val="00F1641B"/>
    <w:rsid w:val="00F23034"/>
    <w:rsid w:val="00F254F1"/>
    <w:rsid w:val="00F33669"/>
    <w:rsid w:val="00F3649D"/>
    <w:rsid w:val="00F37CC7"/>
    <w:rsid w:val="00F4273F"/>
    <w:rsid w:val="00F4353E"/>
    <w:rsid w:val="00F438D8"/>
    <w:rsid w:val="00F4460D"/>
    <w:rsid w:val="00F4470D"/>
    <w:rsid w:val="00F44C5C"/>
    <w:rsid w:val="00F6014A"/>
    <w:rsid w:val="00F62CCF"/>
    <w:rsid w:val="00F62E33"/>
    <w:rsid w:val="00F647CE"/>
    <w:rsid w:val="00F64E48"/>
    <w:rsid w:val="00F66DF3"/>
    <w:rsid w:val="00F70F07"/>
    <w:rsid w:val="00F7571B"/>
    <w:rsid w:val="00F84DDB"/>
    <w:rsid w:val="00F84F8B"/>
    <w:rsid w:val="00F85992"/>
    <w:rsid w:val="00F95379"/>
    <w:rsid w:val="00F96132"/>
    <w:rsid w:val="00FA0202"/>
    <w:rsid w:val="00FA05EF"/>
    <w:rsid w:val="00FA2C14"/>
    <w:rsid w:val="00FA4C6E"/>
    <w:rsid w:val="00FA6791"/>
    <w:rsid w:val="00FA68BD"/>
    <w:rsid w:val="00FB007D"/>
    <w:rsid w:val="00FB169F"/>
    <w:rsid w:val="00FB1BB7"/>
    <w:rsid w:val="00FB3E8C"/>
    <w:rsid w:val="00FB7AC5"/>
    <w:rsid w:val="00FC055D"/>
    <w:rsid w:val="00FC09D9"/>
    <w:rsid w:val="00FD0E64"/>
    <w:rsid w:val="00FD1F21"/>
    <w:rsid w:val="00FD4419"/>
    <w:rsid w:val="00FD7605"/>
    <w:rsid w:val="00FE1F94"/>
    <w:rsid w:val="00FE2E8A"/>
    <w:rsid w:val="00FE4B11"/>
    <w:rsid w:val="00FE5227"/>
    <w:rsid w:val="00FE6FF8"/>
    <w:rsid w:val="00FF304F"/>
    <w:rsid w:val="00FF652E"/>
    <w:rsid w:val="08093D9E"/>
    <w:rsid w:val="0C385374"/>
    <w:rsid w:val="0FAA16B6"/>
    <w:rsid w:val="222B2450"/>
    <w:rsid w:val="26186756"/>
    <w:rsid w:val="37867D1A"/>
    <w:rsid w:val="3ADA1ED6"/>
    <w:rsid w:val="537A0F97"/>
    <w:rsid w:val="5652138E"/>
    <w:rsid w:val="5EBE8724"/>
    <w:rsid w:val="777348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qFormat/>
    <w:uiPriority w:val="0"/>
    <w:pPr>
      <w:ind w:left="542" w:leftChars="257" w:hanging="2"/>
    </w:pPr>
    <w:rPr>
      <w:rFonts w:eastAsia="仿宋_GB2312"/>
      <w:kern w:val="0"/>
      <w:sz w:val="28"/>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qFormat/>
    <w:uiPriority w:val="0"/>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Char"/>
    <w:basedOn w:val="9"/>
    <w:link w:val="6"/>
    <w:qFormat/>
    <w:uiPriority w:val="0"/>
    <w:rPr>
      <w:sz w:val="18"/>
      <w:szCs w:val="18"/>
    </w:rPr>
  </w:style>
  <w:style w:type="character" w:customStyle="1" w:styleId="13">
    <w:name w:val="页脚 Char"/>
    <w:basedOn w:val="9"/>
    <w:link w:val="5"/>
    <w:qFormat/>
    <w:uiPriority w:val="99"/>
    <w:rPr>
      <w:sz w:val="18"/>
      <w:szCs w:val="18"/>
    </w:rPr>
  </w:style>
  <w:style w:type="paragraph" w:customStyle="1" w:styleId="1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5">
    <w:name w:val="List Paragraph"/>
    <w:basedOn w:val="1"/>
    <w:qFormat/>
    <w:uiPriority w:val="34"/>
    <w:pPr>
      <w:ind w:firstLine="420" w:firstLineChars="200"/>
    </w:pPr>
  </w:style>
  <w:style w:type="character" w:customStyle="1" w:styleId="16">
    <w:name w:val="日期 Char"/>
    <w:basedOn w:val="9"/>
    <w:link w:val="3"/>
    <w:semiHidden/>
    <w:qFormat/>
    <w:uiPriority w:val="99"/>
    <w:rPr>
      <w:rFonts w:ascii="Times New Roman" w:hAnsi="Times New Roman" w:eastAsia="宋体" w:cs="Times New Roman"/>
      <w:szCs w:val="24"/>
    </w:rPr>
  </w:style>
  <w:style w:type="paragraph" w:customStyle="1" w:styleId="17">
    <w:name w:val="Char"/>
    <w:basedOn w:val="1"/>
    <w:qFormat/>
    <w:uiPriority w:val="0"/>
    <w:rPr>
      <w:rFonts w:ascii="宋体" w:hAnsi="宋体" w:cs="Courier New"/>
      <w:sz w:val="32"/>
      <w:szCs w:val="32"/>
    </w:rPr>
  </w:style>
  <w:style w:type="character" w:customStyle="1" w:styleId="18">
    <w:name w:val="批注框文本 Char"/>
    <w:basedOn w:val="9"/>
    <w:link w:val="4"/>
    <w:semiHidden/>
    <w:qFormat/>
    <w:uiPriority w:val="99"/>
    <w:rPr>
      <w:rFonts w:ascii="Times New Roman" w:hAnsi="Times New Roman" w:eastAsia="宋体" w:cs="Times New Roman"/>
      <w:sz w:val="18"/>
      <w:szCs w:val="18"/>
    </w:rPr>
  </w:style>
  <w:style w:type="character" w:customStyle="1" w:styleId="19">
    <w:name w:val="正文文本缩进 Char"/>
    <w:basedOn w:val="9"/>
    <w:link w:val="2"/>
    <w:qFormat/>
    <w:uiPriority w:val="0"/>
    <w:rPr>
      <w:rFonts w:ascii="Times New Roman" w:hAnsi="Times New Roman" w:eastAsia="仿宋_GB2312" w:cs="Times New Roman"/>
      <w:kern w:val="0"/>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1773</Words>
  <Characters>1892</Characters>
  <Lines>15</Lines>
  <Paragraphs>4</Paragraphs>
  <TotalTime>57</TotalTime>
  <ScaleCrop>false</ScaleCrop>
  <LinksUpToDate>false</LinksUpToDate>
  <CharactersWithSpaces>1895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2021-12-30T16:28:00Z</dcterms:created>
  <dc:creator>lenovo</dc:creator>
  <cp:lastModifiedBy>ahwjw0167</cp:lastModifiedBy>
  <cp:lastPrinted>2021-12-22T17:27:00Z</cp:lastPrinted>
  <dcterms:modified xsi:type="dcterms:W3CDTF">2023-03-17T15:43:11Z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AC25AAEB831543A69B51C05B1A44ACD2</vt:lpwstr>
  </property>
</Properties>
</file>